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E10285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E1028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máy in màu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83EE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31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83EE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08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18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E10285">
        <w:rPr>
          <w:rFonts w:ascii="Times New Roman" w:hAnsi="Times New Roman"/>
          <w:b/>
          <w:bCs/>
          <w:sz w:val="26"/>
          <w:szCs w:val="26"/>
          <w:lang w:val="pl-PL"/>
        </w:rPr>
        <w:t>máy in màu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E10285">
        <w:rPr>
          <w:rFonts w:ascii="Times New Roman" w:hAnsi="Times New Roman"/>
          <w:sz w:val="26"/>
          <w:szCs w:val="26"/>
          <w:lang w:val="pl-PL"/>
        </w:rPr>
        <w:t>máy in màu</w:t>
      </w:r>
      <w:r w:rsidR="00364C45">
        <w:rPr>
          <w:rFonts w:ascii="Times New Roman" w:hAnsi="Times New Roman"/>
          <w:sz w:val="26"/>
          <w:szCs w:val="26"/>
          <w:lang w:val="pl-PL"/>
        </w:rPr>
        <w:t xml:space="preserve"> </w:t>
      </w:r>
      <w:bookmarkStart w:id="0" w:name="_GoBack"/>
      <w:bookmarkEnd w:id="0"/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E10285" w:rsidRPr="00AC2C7B">
        <w:rPr>
          <w:rFonts w:ascii="Times New Roman" w:hAnsi="Times New Roman"/>
          <w:b/>
          <w:sz w:val="26"/>
          <w:szCs w:val="26"/>
          <w:lang w:val="pl-PL"/>
        </w:rPr>
        <w:t>Văn Phòng Trường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05" w:type="dxa"/>
        <w:tblInd w:w="108" w:type="dxa"/>
        <w:tblLook w:val="00A0" w:firstRow="1" w:lastRow="0" w:firstColumn="1" w:lastColumn="0" w:noHBand="0" w:noVBand="0"/>
      </w:tblPr>
      <w:tblGrid>
        <w:gridCol w:w="722"/>
        <w:gridCol w:w="1830"/>
        <w:gridCol w:w="809"/>
        <w:gridCol w:w="810"/>
        <w:gridCol w:w="3342"/>
        <w:gridCol w:w="1233"/>
        <w:gridCol w:w="1259"/>
      </w:tblGrid>
      <w:tr w:rsidR="00A35ED4" w:rsidRPr="001E728E" w:rsidTr="00626704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C40786" w:rsidRPr="001E728E" w:rsidTr="00626704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Pr="00A748B5" w:rsidRDefault="00A748B5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Pr="00626704" w:rsidRDefault="00E10285" w:rsidP="006267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Máy In màu OKI C833N</w:t>
            </w:r>
            <w:r w:rsidR="009311C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hoặc thiết bị có đặc tính kỷ thuật 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Default="00C40786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Default="00E10285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2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85"/>
            </w:tblGrid>
            <w:tr w:rsidR="00400816" w:rsidTr="00977842">
              <w:trPr>
                <w:trHeight w:val="4646"/>
              </w:trPr>
              <w:tc>
                <w:tcPr>
                  <w:tcW w:w="4699" w:type="dxa"/>
                </w:tcPr>
                <w:p w:rsidR="00400816" w:rsidRPr="00A748B5" w:rsidRDefault="00400816" w:rsidP="00977842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Tốc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độ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in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A4: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35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trang/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phút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(trắng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đen/màu).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5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Tốc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độ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in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A3: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20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trang/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phút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(trắng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đen/màu).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4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Độ phân giải: 1200 x 600</w:t>
                  </w:r>
                  <w:r w:rsidRPr="00A748B5">
                    <w:rPr>
                      <w:spacing w:val="-1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dpi.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4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Tự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động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cân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bằng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màu</w:t>
                  </w:r>
                  <w:r w:rsidRPr="00A748B5">
                    <w:rPr>
                      <w:spacing w:val="-1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sắc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định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kỳ,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nâng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cao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chất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lượng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hình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ảnh.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5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Thời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gian</w:t>
                  </w:r>
                  <w:r w:rsidRPr="00A748B5">
                    <w:rPr>
                      <w:spacing w:val="-1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in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trang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đầu: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9.5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giây</w:t>
                  </w:r>
                  <w:r w:rsidRPr="00A748B5">
                    <w:rPr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(màu),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9.5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giây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(trắng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đen).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5" w:line="273" w:lineRule="auto"/>
                    <w:ind w:right="142"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Thời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gian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sẵn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sàng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in: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Tối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đa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32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giây</w:t>
                  </w:r>
                  <w:r w:rsidRPr="00A748B5">
                    <w:rPr>
                      <w:spacing w:val="-9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từ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lúc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bật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nguồn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và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27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giây</w:t>
                  </w:r>
                  <w:r w:rsidRPr="00A748B5">
                    <w:rPr>
                      <w:spacing w:val="-9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ở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chế độ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chờ.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Hỗ trợ in qua mạng, in từ</w:t>
                  </w:r>
                  <w:r w:rsidRPr="00A748B5">
                    <w:rPr>
                      <w:spacing w:val="-1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USB.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4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Công suất in: 75000 trang/</w:t>
                  </w:r>
                  <w:r w:rsidRPr="00A748B5">
                    <w:rPr>
                      <w:spacing w:val="-1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tháng.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115"/>
                    </w:tabs>
                    <w:spacing w:before="25" w:line="273" w:lineRule="auto"/>
                    <w:ind w:right="28"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Hệ điều hành tương thích: Windows XP (32-bit &amp; 64-bit)/ Server 2003 (32-bit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&amp;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64-bit)/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Server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2008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(32-bit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&amp;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64-bit)/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Server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2008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R2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(64-bit)/ Vista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(32-bit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&amp;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64-bit)/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Windows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7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(32-bit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&amp;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64-bit);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Mac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OS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X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10.3.9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to 10.7.</w:t>
                  </w:r>
                </w:p>
                <w:p w:rsidR="00400816" w:rsidRPr="00A748B5" w:rsidRDefault="00400816" w:rsidP="00A748B5">
                  <w:pPr>
                    <w:pStyle w:val="TableParagraph"/>
                    <w:tabs>
                      <w:tab w:val="left" w:pos="115"/>
                    </w:tabs>
                    <w:spacing w:line="273" w:lineRule="auto"/>
                    <w:ind w:left="28" w:right="330"/>
                    <w:rPr>
                      <w:sz w:val="24"/>
                      <w:szCs w:val="24"/>
                    </w:rPr>
                  </w:pPr>
                </w:p>
              </w:tc>
            </w:tr>
            <w:tr w:rsidR="00400816" w:rsidTr="00977842">
              <w:trPr>
                <w:trHeight w:val="3170"/>
              </w:trPr>
              <w:tc>
                <w:tcPr>
                  <w:tcW w:w="4699" w:type="dxa"/>
                </w:tcPr>
                <w:p w:rsidR="00400816" w:rsidRPr="00A748B5" w:rsidRDefault="00400816" w:rsidP="00977842">
                  <w:pPr>
                    <w:pStyle w:val="TableParagraph"/>
                    <w:spacing w:before="7"/>
                    <w:ind w:left="28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lastRenderedPageBreak/>
                    <w:t>Cổng kết nối: 10/100 TX Ethernet, USB 2.0.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15"/>
                    </w:tabs>
                    <w:spacing w:before="24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Lượng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giấy: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300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tờ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khay</w:t>
                  </w:r>
                  <w:r w:rsidRPr="00A748B5">
                    <w:rPr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chính,</w:t>
                  </w:r>
                  <w:r w:rsidRPr="00A748B5">
                    <w:rPr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100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tờ</w:t>
                  </w:r>
                  <w:r w:rsidRPr="00A748B5">
                    <w:rPr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khay</w:t>
                  </w:r>
                  <w:r w:rsidRPr="00A748B5">
                    <w:rPr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đa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chức</w:t>
                  </w:r>
                  <w:r w:rsidRPr="00A748B5">
                    <w:rPr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năng.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15"/>
                    </w:tabs>
                    <w:spacing w:before="24" w:line="273" w:lineRule="auto"/>
                    <w:ind w:right="373"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Độ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dày</w:t>
                  </w:r>
                  <w:r w:rsidRPr="00A748B5">
                    <w:rPr>
                      <w:spacing w:val="-11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giấy:</w:t>
                  </w:r>
                  <w:r w:rsidRPr="00A748B5">
                    <w:rPr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64~176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gsm</w:t>
                  </w:r>
                  <w:r w:rsidRPr="00A748B5">
                    <w:rPr>
                      <w:spacing w:val="-9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(khay</w:t>
                  </w:r>
                  <w:r w:rsidRPr="00A748B5">
                    <w:rPr>
                      <w:spacing w:val="-10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chính),</w:t>
                  </w:r>
                  <w:r w:rsidRPr="00A748B5">
                    <w:rPr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64~256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gsm</w:t>
                  </w:r>
                  <w:r w:rsidRPr="00A748B5">
                    <w:rPr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(khay</w:t>
                  </w:r>
                  <w:r w:rsidRPr="00A748B5">
                    <w:rPr>
                      <w:spacing w:val="-11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đa</w:t>
                  </w:r>
                  <w:r w:rsidRPr="00A748B5">
                    <w:rPr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chức năng).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15"/>
                    </w:tabs>
                    <w:spacing w:before="1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Độ ồn: 33dB</w:t>
                  </w:r>
                  <w:r w:rsidRPr="00A748B5">
                    <w:rPr>
                      <w:spacing w:val="-9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(A).</w:t>
                  </w:r>
                </w:p>
                <w:p w:rsidR="00400816" w:rsidRPr="00A748B5" w:rsidRDefault="00400816" w:rsidP="00977842">
                  <w:pPr>
                    <w:pStyle w:val="TableParagraph"/>
                    <w:spacing w:before="24"/>
                    <w:ind w:left="28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- Kích thước: 36.0 x 44.9 x 55.2 cm.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15"/>
                    </w:tabs>
                    <w:spacing w:before="24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Trọng lượng:</w:t>
                  </w:r>
                  <w:r w:rsidRPr="00A748B5">
                    <w:rPr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37kg.</w:t>
                  </w:r>
                </w:p>
                <w:p w:rsidR="00400816" w:rsidRPr="00A748B5" w:rsidRDefault="00400816" w:rsidP="00400816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15"/>
                    </w:tabs>
                    <w:spacing w:before="25"/>
                    <w:ind w:firstLine="0"/>
                    <w:rPr>
                      <w:sz w:val="24"/>
                      <w:szCs w:val="24"/>
                    </w:rPr>
                  </w:pPr>
                  <w:r w:rsidRPr="00A748B5">
                    <w:rPr>
                      <w:w w:val="105"/>
                      <w:sz w:val="24"/>
                      <w:szCs w:val="24"/>
                    </w:rPr>
                    <w:t>Hàng chính hãng OKI của Nhật</w:t>
                  </w:r>
                  <w:r w:rsidRPr="00A748B5">
                    <w:rPr>
                      <w:spacing w:val="-16"/>
                      <w:w w:val="105"/>
                      <w:sz w:val="24"/>
                      <w:szCs w:val="24"/>
                    </w:rPr>
                    <w:t xml:space="preserve"> </w:t>
                  </w:r>
                  <w:r w:rsidRPr="00A748B5">
                    <w:rPr>
                      <w:w w:val="105"/>
                      <w:sz w:val="24"/>
                      <w:szCs w:val="24"/>
                    </w:rPr>
                    <w:t>Bản.</w:t>
                  </w:r>
                </w:p>
              </w:tc>
            </w:tr>
          </w:tbl>
          <w:p w:rsidR="00C40786" w:rsidRPr="00626704" w:rsidRDefault="00C40786" w:rsidP="00E102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6" w:rsidRDefault="00DD057B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01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6" w:rsidRPr="00737B11" w:rsidRDefault="00C4078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igian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E102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748B5">
        <w:rPr>
          <w:rFonts w:ascii="Times New Roman" w:hAnsi="Times New Roman"/>
          <w:b/>
          <w:sz w:val="26"/>
          <w:szCs w:val="26"/>
          <w:lang w:val="en-US"/>
        </w:rPr>
        <w:t>…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/</w:t>
      </w:r>
      <w:r w:rsidR="00A748B5">
        <w:rPr>
          <w:rFonts w:ascii="Times New Roman" w:hAnsi="Times New Roman"/>
          <w:b/>
          <w:sz w:val="26"/>
          <w:szCs w:val="26"/>
          <w:lang w:val="en-US"/>
        </w:rPr>
        <w:t>…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/2018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748B5">
        <w:rPr>
          <w:rFonts w:ascii="Times New Roman" w:hAnsi="Times New Roman"/>
          <w:b/>
          <w:sz w:val="26"/>
          <w:szCs w:val="26"/>
          <w:lang w:val="en-US"/>
        </w:rPr>
        <w:t>…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/</w:t>
      </w:r>
      <w:r w:rsidR="00A748B5">
        <w:rPr>
          <w:rFonts w:ascii="Times New Roman" w:hAnsi="Times New Roman"/>
          <w:b/>
          <w:sz w:val="26"/>
          <w:szCs w:val="26"/>
          <w:lang w:val="en-US"/>
        </w:rPr>
        <w:t>…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E10285">
        <w:rPr>
          <w:rFonts w:ascii="Times New Roman" w:hAnsi="Times New Roman"/>
          <w:b/>
          <w:sz w:val="26"/>
          <w:szCs w:val="26"/>
          <w:lang w:val="en-US"/>
        </w:rPr>
        <w:t>Máy in màu cho Văn Phòng Trường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3F" w:rsidRDefault="00BF433F" w:rsidP="00D74B40">
      <w:pPr>
        <w:spacing w:after="0" w:line="240" w:lineRule="auto"/>
      </w:pPr>
      <w:r>
        <w:separator/>
      </w:r>
    </w:p>
  </w:endnote>
  <w:endnote w:type="continuationSeparator" w:id="0">
    <w:p w:rsidR="00BF433F" w:rsidRDefault="00BF433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3F" w:rsidRDefault="00BF433F" w:rsidP="00D74B40">
      <w:pPr>
        <w:spacing w:after="0" w:line="240" w:lineRule="auto"/>
      </w:pPr>
      <w:r>
        <w:separator/>
      </w:r>
    </w:p>
  </w:footnote>
  <w:footnote w:type="continuationSeparator" w:id="0">
    <w:p w:rsidR="00BF433F" w:rsidRDefault="00BF433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7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2DD6"/>
    <w:rsid w:val="00055B9A"/>
    <w:rsid w:val="000677FF"/>
    <w:rsid w:val="00076A0A"/>
    <w:rsid w:val="0007793E"/>
    <w:rsid w:val="00093FC3"/>
    <w:rsid w:val="000A28D7"/>
    <w:rsid w:val="000B3AC2"/>
    <w:rsid w:val="000B62B0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5BA2"/>
    <w:rsid w:val="001A75C4"/>
    <w:rsid w:val="001B7B6C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752A"/>
    <w:rsid w:val="00362931"/>
    <w:rsid w:val="00362E7F"/>
    <w:rsid w:val="00364C45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3F5EE5"/>
    <w:rsid w:val="00400816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431"/>
    <w:rsid w:val="005E7CE3"/>
    <w:rsid w:val="005F579B"/>
    <w:rsid w:val="0060600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827B9F"/>
    <w:rsid w:val="00833904"/>
    <w:rsid w:val="008373F5"/>
    <w:rsid w:val="00845FD9"/>
    <w:rsid w:val="00861746"/>
    <w:rsid w:val="00865CE5"/>
    <w:rsid w:val="00871700"/>
    <w:rsid w:val="00873E2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311C8"/>
    <w:rsid w:val="00943DC6"/>
    <w:rsid w:val="0095452C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48B5"/>
    <w:rsid w:val="00A76318"/>
    <w:rsid w:val="00A76B7A"/>
    <w:rsid w:val="00A9118B"/>
    <w:rsid w:val="00AB3C76"/>
    <w:rsid w:val="00AB4CBA"/>
    <w:rsid w:val="00AC2C7B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BF433F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57B"/>
    <w:rsid w:val="00DD0855"/>
    <w:rsid w:val="00DE6AB0"/>
    <w:rsid w:val="00DF40E0"/>
    <w:rsid w:val="00E00000"/>
    <w:rsid w:val="00E10285"/>
    <w:rsid w:val="00E15B7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17A9F"/>
    <w:rsid w:val="00F2258F"/>
    <w:rsid w:val="00F3348D"/>
    <w:rsid w:val="00F5187E"/>
    <w:rsid w:val="00F60FBB"/>
    <w:rsid w:val="00F71C8D"/>
    <w:rsid w:val="00F73ACE"/>
    <w:rsid w:val="00F770DA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535319A1-572B-4D2B-A3DE-CE87BEC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B97D-911A-46C7-9F01-1F6E9B75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17</cp:revision>
  <dcterms:created xsi:type="dcterms:W3CDTF">2018-01-25T01:53:00Z</dcterms:created>
  <dcterms:modified xsi:type="dcterms:W3CDTF">2018-09-04T03:21:00Z</dcterms:modified>
</cp:coreProperties>
</file>