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9A996" w14:textId="77777777" w:rsidR="00DB5DB4" w:rsidRPr="00BB08B8" w:rsidRDefault="00DB5DB4" w:rsidP="00DB5DB4">
      <w:pPr>
        <w:jc w:val="center"/>
        <w:rPr>
          <w:b/>
          <w:lang w:val="pt-BR"/>
        </w:rPr>
      </w:pPr>
    </w:p>
    <w:p w14:paraId="50E8F7C9" w14:textId="44912BE1" w:rsidR="0001177A" w:rsidRPr="00BB08B8" w:rsidRDefault="0001177A" w:rsidP="0001177A">
      <w:pPr>
        <w:jc w:val="center"/>
        <w:rPr>
          <w:b/>
          <w:bCs/>
          <w:sz w:val="28"/>
          <w:szCs w:val="28"/>
        </w:rPr>
      </w:pPr>
      <w:r w:rsidRPr="00BB08B8">
        <w:rPr>
          <w:b/>
          <w:bCs/>
          <w:sz w:val="28"/>
          <w:szCs w:val="28"/>
        </w:rPr>
        <w:t>Dự thảo - Các nội dung điều chỉnh, bổ sung trong Quy chế chi tiêu nội bộ năm 202</w:t>
      </w:r>
      <w:r w:rsidR="00E348E3" w:rsidRPr="00BB08B8">
        <w:rPr>
          <w:b/>
          <w:bCs/>
          <w:sz w:val="28"/>
          <w:szCs w:val="28"/>
        </w:rPr>
        <w:t>2</w:t>
      </w:r>
      <w:r w:rsidRPr="00BB08B8">
        <w:rPr>
          <w:b/>
          <w:bCs/>
          <w:sz w:val="28"/>
          <w:szCs w:val="28"/>
        </w:rPr>
        <w:t xml:space="preserve"> (so với năm 202</w:t>
      </w:r>
      <w:r w:rsidR="00E348E3" w:rsidRPr="00BB08B8">
        <w:rPr>
          <w:b/>
          <w:bCs/>
          <w:sz w:val="28"/>
          <w:szCs w:val="28"/>
        </w:rPr>
        <w:t>1</w:t>
      </w:r>
      <w:r w:rsidRPr="00BB08B8">
        <w:rPr>
          <w:b/>
          <w:bCs/>
          <w:sz w:val="28"/>
          <w:szCs w:val="28"/>
        </w:rPr>
        <w:t>)</w:t>
      </w:r>
    </w:p>
    <w:tbl>
      <w:tblPr>
        <w:tblStyle w:val="TableGrid"/>
        <w:tblpPr w:leftFromText="180" w:rightFromText="180" w:vertAnchor="text" w:tblpXSpec="right" w:tblpY="1"/>
        <w:tblOverlap w:val="never"/>
        <w:tblW w:w="14575" w:type="dxa"/>
        <w:tblLayout w:type="fixed"/>
        <w:tblLook w:val="04A0" w:firstRow="1" w:lastRow="0" w:firstColumn="1" w:lastColumn="0" w:noHBand="0" w:noVBand="1"/>
      </w:tblPr>
      <w:tblGrid>
        <w:gridCol w:w="737"/>
        <w:gridCol w:w="3758"/>
        <w:gridCol w:w="4572"/>
        <w:gridCol w:w="5508"/>
      </w:tblGrid>
      <w:tr w:rsidR="00BB08B8" w:rsidRPr="00BB08B8" w14:paraId="205E1E77" w14:textId="77777777" w:rsidTr="007032A1">
        <w:trPr>
          <w:trHeight w:val="756"/>
          <w:tblHeader/>
        </w:trPr>
        <w:tc>
          <w:tcPr>
            <w:tcW w:w="737" w:type="dxa"/>
            <w:shd w:val="clear" w:color="auto" w:fill="BFBFBF" w:themeFill="background1" w:themeFillShade="BF"/>
          </w:tcPr>
          <w:p w14:paraId="1476C1A6" w14:textId="77777777" w:rsidR="0001177A" w:rsidRPr="00BB08B8" w:rsidRDefault="0001177A" w:rsidP="00793B81">
            <w:pPr>
              <w:spacing w:before="60" w:after="60"/>
              <w:jc w:val="center"/>
              <w:rPr>
                <w:b/>
                <w:sz w:val="22"/>
                <w:szCs w:val="22"/>
              </w:rPr>
            </w:pPr>
            <w:r w:rsidRPr="00BB08B8">
              <w:rPr>
                <w:b/>
                <w:sz w:val="22"/>
                <w:szCs w:val="22"/>
              </w:rPr>
              <w:t>STT</w:t>
            </w:r>
          </w:p>
        </w:tc>
        <w:tc>
          <w:tcPr>
            <w:tcW w:w="3758" w:type="dxa"/>
            <w:shd w:val="clear" w:color="auto" w:fill="BFBFBF" w:themeFill="background1" w:themeFillShade="BF"/>
          </w:tcPr>
          <w:p w14:paraId="2AEFB8CD" w14:textId="77777777" w:rsidR="0001177A" w:rsidRPr="00BB08B8" w:rsidRDefault="0001177A" w:rsidP="00793B81">
            <w:pPr>
              <w:spacing w:before="60" w:after="60"/>
              <w:jc w:val="center"/>
              <w:rPr>
                <w:b/>
                <w:sz w:val="22"/>
                <w:szCs w:val="22"/>
              </w:rPr>
            </w:pPr>
            <w:r w:rsidRPr="00BB08B8">
              <w:rPr>
                <w:b/>
                <w:sz w:val="22"/>
                <w:szCs w:val="22"/>
              </w:rPr>
              <w:t>NỘI DUNG</w:t>
            </w:r>
          </w:p>
        </w:tc>
        <w:tc>
          <w:tcPr>
            <w:tcW w:w="4572" w:type="dxa"/>
            <w:shd w:val="clear" w:color="auto" w:fill="BFBFBF" w:themeFill="background1" w:themeFillShade="BF"/>
          </w:tcPr>
          <w:p w14:paraId="49914C7D" w14:textId="0CE2F790" w:rsidR="0001177A" w:rsidRPr="00BB08B8" w:rsidRDefault="0001177A" w:rsidP="00793B81">
            <w:pPr>
              <w:spacing w:before="60" w:after="60"/>
              <w:jc w:val="center"/>
              <w:rPr>
                <w:b/>
                <w:sz w:val="22"/>
                <w:szCs w:val="22"/>
              </w:rPr>
            </w:pPr>
            <w:r w:rsidRPr="00BB08B8">
              <w:rPr>
                <w:b/>
                <w:sz w:val="22"/>
                <w:szCs w:val="22"/>
              </w:rPr>
              <w:t>QUY CHẾ NĂM 202</w:t>
            </w:r>
            <w:r w:rsidR="00AE4DB6">
              <w:rPr>
                <w:b/>
                <w:sz w:val="22"/>
                <w:szCs w:val="22"/>
              </w:rPr>
              <w:t>1</w:t>
            </w:r>
          </w:p>
        </w:tc>
        <w:tc>
          <w:tcPr>
            <w:tcW w:w="5508" w:type="dxa"/>
            <w:shd w:val="clear" w:color="auto" w:fill="BFBFBF" w:themeFill="background1" w:themeFillShade="BF"/>
          </w:tcPr>
          <w:p w14:paraId="66304434" w14:textId="036A600F" w:rsidR="0001177A" w:rsidRPr="00BB08B8" w:rsidRDefault="0001177A" w:rsidP="00793B81">
            <w:pPr>
              <w:spacing w:before="60" w:after="60"/>
              <w:jc w:val="center"/>
              <w:rPr>
                <w:b/>
                <w:sz w:val="22"/>
                <w:szCs w:val="22"/>
              </w:rPr>
            </w:pPr>
            <w:r w:rsidRPr="00BB08B8">
              <w:rPr>
                <w:b/>
                <w:sz w:val="22"/>
                <w:szCs w:val="22"/>
              </w:rPr>
              <w:t>QUY CHẾ NĂM 202</w:t>
            </w:r>
            <w:r w:rsidR="00AE4DB6">
              <w:rPr>
                <w:b/>
                <w:sz w:val="22"/>
                <w:szCs w:val="22"/>
              </w:rPr>
              <w:t>2</w:t>
            </w:r>
          </w:p>
          <w:p w14:paraId="64B57533" w14:textId="77777777" w:rsidR="0001177A" w:rsidRPr="00BB08B8" w:rsidRDefault="0001177A" w:rsidP="00793B81">
            <w:pPr>
              <w:spacing w:before="60" w:after="60"/>
              <w:jc w:val="center"/>
              <w:rPr>
                <w:b/>
                <w:sz w:val="22"/>
                <w:szCs w:val="22"/>
              </w:rPr>
            </w:pPr>
          </w:p>
        </w:tc>
      </w:tr>
      <w:tr w:rsidR="00BB08B8" w:rsidRPr="00BB08B8" w14:paraId="22B4AC96" w14:textId="77777777" w:rsidTr="00793B81">
        <w:trPr>
          <w:trHeight w:val="555"/>
        </w:trPr>
        <w:tc>
          <w:tcPr>
            <w:tcW w:w="737" w:type="dxa"/>
            <w:shd w:val="clear" w:color="auto" w:fill="BFBFBF" w:themeFill="background1" w:themeFillShade="BF"/>
          </w:tcPr>
          <w:p w14:paraId="55C37526" w14:textId="77777777" w:rsidR="0001177A" w:rsidRPr="00BB08B8" w:rsidRDefault="0001177A" w:rsidP="00793B81">
            <w:pPr>
              <w:spacing w:before="60" w:after="60"/>
              <w:rPr>
                <w:b/>
              </w:rPr>
            </w:pPr>
            <w:r w:rsidRPr="00BB08B8">
              <w:rPr>
                <w:b/>
              </w:rPr>
              <w:t>I.</w:t>
            </w:r>
          </w:p>
        </w:tc>
        <w:tc>
          <w:tcPr>
            <w:tcW w:w="13838" w:type="dxa"/>
            <w:gridSpan w:val="3"/>
            <w:shd w:val="clear" w:color="auto" w:fill="BFBFBF" w:themeFill="background1" w:themeFillShade="BF"/>
          </w:tcPr>
          <w:p w14:paraId="46721C4E" w14:textId="77777777" w:rsidR="0001177A" w:rsidRPr="00BB08B8" w:rsidRDefault="0001177A" w:rsidP="00793B81">
            <w:pPr>
              <w:spacing w:before="60" w:after="60"/>
              <w:rPr>
                <w:b/>
                <w:sz w:val="22"/>
                <w:szCs w:val="22"/>
              </w:rPr>
            </w:pPr>
            <w:r w:rsidRPr="00BB08B8">
              <w:rPr>
                <w:b/>
                <w:bCs/>
                <w:sz w:val="22"/>
                <w:szCs w:val="22"/>
              </w:rPr>
              <w:t>TIỀN LƯƠNG, THU NHẬP, PHÚC LỢI, HỖ TRỢ</w:t>
            </w:r>
          </w:p>
        </w:tc>
      </w:tr>
      <w:tr w:rsidR="00BB08B8" w:rsidRPr="00BB08B8" w14:paraId="26408C68" w14:textId="77777777" w:rsidTr="007032A1">
        <w:trPr>
          <w:trHeight w:val="779"/>
        </w:trPr>
        <w:tc>
          <w:tcPr>
            <w:tcW w:w="737" w:type="dxa"/>
          </w:tcPr>
          <w:p w14:paraId="084DBE94" w14:textId="77777777" w:rsidR="00D25CBF" w:rsidRPr="00BB08B8" w:rsidRDefault="00D25CBF" w:rsidP="00D25CBF">
            <w:pPr>
              <w:pStyle w:val="ListParagraph"/>
              <w:numPr>
                <w:ilvl w:val="0"/>
                <w:numId w:val="2"/>
              </w:numPr>
              <w:spacing w:before="60" w:after="60" w:line="240" w:lineRule="auto"/>
              <w:ind w:left="432"/>
              <w:jc w:val="both"/>
              <w:rPr>
                <w:rFonts w:ascii="Times New Roman" w:hAnsi="Times New Roman"/>
                <w:b/>
              </w:rPr>
            </w:pPr>
          </w:p>
        </w:tc>
        <w:tc>
          <w:tcPr>
            <w:tcW w:w="3758" w:type="dxa"/>
          </w:tcPr>
          <w:p w14:paraId="2994DD34" w14:textId="7320DF77" w:rsidR="00D25CBF" w:rsidRPr="00BB08B8" w:rsidRDefault="00D25CBF" w:rsidP="005812C6">
            <w:pPr>
              <w:spacing w:before="120"/>
              <w:ind w:right="-43"/>
              <w:rPr>
                <w:b/>
                <w:sz w:val="22"/>
                <w:szCs w:val="22"/>
              </w:rPr>
            </w:pPr>
            <w:r w:rsidRPr="00BB08B8">
              <w:rPr>
                <w:b/>
                <w:bCs/>
                <w:noProof/>
                <w:sz w:val="22"/>
                <w:szCs w:val="22"/>
              </w:rPr>
              <w:t>Điều 17</w:t>
            </w:r>
            <w:r w:rsidR="005812C6">
              <w:rPr>
                <w:b/>
                <w:bCs/>
                <w:noProof/>
                <w:sz w:val="22"/>
                <w:szCs w:val="22"/>
              </w:rPr>
              <w:t xml:space="preserve">. </w:t>
            </w:r>
            <w:r w:rsidRPr="00BB08B8">
              <w:rPr>
                <w:b/>
                <w:bCs/>
                <w:sz w:val="22"/>
                <w:szCs w:val="22"/>
              </w:rPr>
              <w:t>Phụ lục</w:t>
            </w:r>
            <w:r w:rsidR="005812C6">
              <w:rPr>
                <w:b/>
                <w:bCs/>
                <w:sz w:val="22"/>
                <w:szCs w:val="22"/>
              </w:rPr>
              <w:t xml:space="preserve"> </w:t>
            </w:r>
            <w:r w:rsidRPr="00BB08B8">
              <w:rPr>
                <w:b/>
                <w:bCs/>
                <w:sz w:val="22"/>
                <w:szCs w:val="22"/>
              </w:rPr>
              <w:t>Phương án phân phối thu nhập UEH</w:t>
            </w:r>
          </w:p>
        </w:tc>
        <w:tc>
          <w:tcPr>
            <w:tcW w:w="4572" w:type="dxa"/>
          </w:tcPr>
          <w:p w14:paraId="2C9FD3A9" w14:textId="77777777" w:rsidR="00D25CBF" w:rsidRPr="00BB08B8" w:rsidRDefault="00D25CBF" w:rsidP="00D25CBF">
            <w:pPr>
              <w:rPr>
                <w:bCs/>
                <w:sz w:val="22"/>
                <w:szCs w:val="22"/>
              </w:rPr>
            </w:pPr>
            <w:r w:rsidRPr="00BB08B8">
              <w:rPr>
                <w:b/>
                <w:sz w:val="22"/>
                <w:szCs w:val="22"/>
              </w:rPr>
              <w:t xml:space="preserve">- </w:t>
            </w:r>
            <w:r w:rsidRPr="00BB08B8">
              <w:rPr>
                <w:bCs/>
                <w:sz w:val="22"/>
                <w:szCs w:val="22"/>
              </w:rPr>
              <w:t>Đơn giá thu nhập UEH: 230.000đ/điểm PP (đã tăng năm 2021)</w:t>
            </w:r>
          </w:p>
          <w:p w14:paraId="0A87C9F9" w14:textId="77777777" w:rsidR="00D25CBF" w:rsidRPr="00BB08B8" w:rsidRDefault="00D25CBF" w:rsidP="00D25CBF">
            <w:pPr>
              <w:rPr>
                <w:bCs/>
                <w:sz w:val="22"/>
                <w:szCs w:val="22"/>
              </w:rPr>
            </w:pPr>
            <w:r w:rsidRPr="00BB08B8">
              <w:rPr>
                <w:bCs/>
                <w:sz w:val="22"/>
                <w:szCs w:val="22"/>
              </w:rPr>
              <w:t>- Đơn giá giờ hoạt động đào tạo: 76.000đ/giờ</w:t>
            </w:r>
          </w:p>
          <w:p w14:paraId="3AAA4BAF" w14:textId="165C1C31" w:rsidR="00D25CBF" w:rsidRPr="00BB08B8" w:rsidRDefault="00D25CBF" w:rsidP="00D25CBF">
            <w:pPr>
              <w:rPr>
                <w:sz w:val="22"/>
                <w:szCs w:val="22"/>
              </w:rPr>
            </w:pPr>
            <w:r w:rsidRPr="00BB08B8">
              <w:rPr>
                <w:sz w:val="22"/>
                <w:szCs w:val="22"/>
              </w:rPr>
              <w:t>(đã tăng 2020)</w:t>
            </w:r>
          </w:p>
        </w:tc>
        <w:tc>
          <w:tcPr>
            <w:tcW w:w="5508" w:type="dxa"/>
          </w:tcPr>
          <w:p w14:paraId="5251C6B2" w14:textId="60B1516D" w:rsidR="00D25CBF" w:rsidRPr="00BB08B8" w:rsidRDefault="00D25CBF" w:rsidP="00D25CBF">
            <w:pPr>
              <w:rPr>
                <w:sz w:val="22"/>
                <w:szCs w:val="22"/>
              </w:rPr>
            </w:pPr>
            <w:r w:rsidRPr="00BB08B8">
              <w:rPr>
                <w:bCs/>
                <w:sz w:val="22"/>
                <w:szCs w:val="22"/>
              </w:rPr>
              <w:t>Tiếp tục giữ ổn định 2022</w:t>
            </w:r>
          </w:p>
        </w:tc>
      </w:tr>
      <w:tr w:rsidR="00BB08B8" w:rsidRPr="00BB08B8" w14:paraId="1EDF3ACE" w14:textId="77777777" w:rsidTr="00793B81">
        <w:trPr>
          <w:trHeight w:val="157"/>
        </w:trPr>
        <w:tc>
          <w:tcPr>
            <w:tcW w:w="737" w:type="dxa"/>
            <w:shd w:val="clear" w:color="auto" w:fill="BFBFBF" w:themeFill="background1" w:themeFillShade="BF"/>
          </w:tcPr>
          <w:p w14:paraId="15574148" w14:textId="77777777" w:rsidR="0001177A" w:rsidRPr="00BB08B8" w:rsidRDefault="0001177A" w:rsidP="00793B81">
            <w:pPr>
              <w:spacing w:before="60" w:after="60"/>
              <w:rPr>
                <w:b/>
              </w:rPr>
            </w:pPr>
            <w:r w:rsidRPr="00BB08B8">
              <w:rPr>
                <w:b/>
              </w:rPr>
              <w:t>II.</w:t>
            </w:r>
          </w:p>
        </w:tc>
        <w:tc>
          <w:tcPr>
            <w:tcW w:w="13838" w:type="dxa"/>
            <w:gridSpan w:val="3"/>
            <w:shd w:val="clear" w:color="auto" w:fill="BFBFBF" w:themeFill="background1" w:themeFillShade="BF"/>
          </w:tcPr>
          <w:p w14:paraId="4F703648" w14:textId="77777777" w:rsidR="0001177A" w:rsidRPr="00BB08B8" w:rsidRDefault="0001177A" w:rsidP="00793B81">
            <w:pPr>
              <w:rPr>
                <w:b/>
                <w:sz w:val="22"/>
                <w:szCs w:val="22"/>
              </w:rPr>
            </w:pPr>
            <w:r w:rsidRPr="00BB08B8">
              <w:rPr>
                <w:b/>
                <w:sz w:val="22"/>
                <w:szCs w:val="22"/>
              </w:rPr>
              <w:t>CÁC HOẠT ĐỘNG ĐÀO TẠO, CHUYÊN MÔN QUẢN LÝ</w:t>
            </w:r>
          </w:p>
        </w:tc>
      </w:tr>
      <w:tr w:rsidR="00BB08B8" w:rsidRPr="00BB08B8" w14:paraId="48C2A4F3" w14:textId="77777777" w:rsidTr="007032A1">
        <w:trPr>
          <w:trHeight w:val="157"/>
        </w:trPr>
        <w:tc>
          <w:tcPr>
            <w:tcW w:w="737" w:type="dxa"/>
          </w:tcPr>
          <w:p w14:paraId="74DFB1B9" w14:textId="77777777" w:rsidR="00FA106E" w:rsidRPr="00BB08B8" w:rsidRDefault="00FA106E" w:rsidP="00FA106E">
            <w:pPr>
              <w:pStyle w:val="ListParagraph"/>
              <w:numPr>
                <w:ilvl w:val="0"/>
                <w:numId w:val="2"/>
              </w:numPr>
              <w:spacing w:before="60" w:after="60" w:line="240" w:lineRule="auto"/>
              <w:ind w:left="432"/>
              <w:jc w:val="both"/>
              <w:rPr>
                <w:rFonts w:ascii="Times New Roman" w:hAnsi="Times New Roman"/>
                <w:b/>
              </w:rPr>
            </w:pPr>
          </w:p>
        </w:tc>
        <w:tc>
          <w:tcPr>
            <w:tcW w:w="3758" w:type="dxa"/>
          </w:tcPr>
          <w:p w14:paraId="44B1EB96" w14:textId="093E401E" w:rsidR="00FA106E" w:rsidRPr="00BB08B8" w:rsidRDefault="00FA106E" w:rsidP="00B26123">
            <w:pPr>
              <w:spacing w:before="60" w:after="60"/>
              <w:rPr>
                <w:b/>
                <w:sz w:val="22"/>
                <w:szCs w:val="22"/>
              </w:rPr>
            </w:pPr>
            <w:r w:rsidRPr="00BB08B8">
              <w:rPr>
                <w:rFonts w:eastAsiaTheme="minorHAnsi"/>
                <w:b/>
                <w:bCs/>
                <w:sz w:val="22"/>
                <w:szCs w:val="22"/>
              </w:rPr>
              <w:t>Điều 19</w:t>
            </w:r>
            <w:r w:rsidR="00B26123">
              <w:rPr>
                <w:rFonts w:eastAsiaTheme="minorHAnsi"/>
                <w:b/>
                <w:bCs/>
                <w:sz w:val="22"/>
                <w:szCs w:val="22"/>
              </w:rPr>
              <w:t xml:space="preserve">. </w:t>
            </w:r>
            <w:r w:rsidRPr="00BB08B8">
              <w:rPr>
                <w:rFonts w:eastAsiaTheme="minorHAnsi"/>
                <w:b/>
                <w:bCs/>
                <w:sz w:val="22"/>
                <w:szCs w:val="22"/>
              </w:rPr>
              <w:t>Phụ cấp giảng dạy và hoạt động đào tạo khác</w:t>
            </w:r>
          </w:p>
        </w:tc>
        <w:tc>
          <w:tcPr>
            <w:tcW w:w="4572" w:type="dxa"/>
          </w:tcPr>
          <w:p w14:paraId="0108EDAE" w14:textId="77777777" w:rsidR="00FA106E" w:rsidRPr="00BB08B8" w:rsidRDefault="00FA106E" w:rsidP="00FA106E">
            <w:pPr>
              <w:rPr>
                <w:bCs/>
                <w:sz w:val="22"/>
                <w:szCs w:val="22"/>
              </w:rPr>
            </w:pPr>
            <w:r w:rsidRPr="00BB08B8">
              <w:rPr>
                <w:bCs/>
                <w:sz w:val="22"/>
                <w:szCs w:val="22"/>
              </w:rPr>
              <w:t>- Đơn giá giờ hoạt động đào tạo: 76.000đ/giờ</w:t>
            </w:r>
          </w:p>
          <w:p w14:paraId="78A7AA30" w14:textId="4E92E887" w:rsidR="00FA106E" w:rsidRPr="00BB08B8" w:rsidRDefault="00FA106E" w:rsidP="00FA106E">
            <w:pPr>
              <w:spacing w:before="60" w:after="60"/>
              <w:rPr>
                <w:spacing w:val="-2"/>
                <w:sz w:val="22"/>
                <w:szCs w:val="22"/>
              </w:rPr>
            </w:pPr>
            <w:r w:rsidRPr="00BB08B8">
              <w:rPr>
                <w:sz w:val="22"/>
                <w:szCs w:val="22"/>
              </w:rPr>
              <w:t>(đã tăng 2020)</w:t>
            </w:r>
          </w:p>
        </w:tc>
        <w:tc>
          <w:tcPr>
            <w:tcW w:w="5508" w:type="dxa"/>
          </w:tcPr>
          <w:p w14:paraId="5338E554" w14:textId="1F0FF8A0" w:rsidR="00FA106E" w:rsidRPr="00BB08B8" w:rsidRDefault="00FA106E" w:rsidP="00FA106E">
            <w:pPr>
              <w:rPr>
                <w:spacing w:val="-2"/>
                <w:sz w:val="22"/>
                <w:szCs w:val="22"/>
              </w:rPr>
            </w:pPr>
            <w:r w:rsidRPr="00BB08B8">
              <w:rPr>
                <w:bCs/>
                <w:sz w:val="22"/>
                <w:szCs w:val="22"/>
              </w:rPr>
              <w:t>Tiếp tục giữ ổn định 2022</w:t>
            </w:r>
          </w:p>
        </w:tc>
      </w:tr>
      <w:tr w:rsidR="00BB08B8" w:rsidRPr="00BB08B8" w14:paraId="7059FF85" w14:textId="77777777" w:rsidTr="007032A1">
        <w:trPr>
          <w:trHeight w:val="669"/>
        </w:trPr>
        <w:tc>
          <w:tcPr>
            <w:tcW w:w="737" w:type="dxa"/>
          </w:tcPr>
          <w:p w14:paraId="6E3EEB85" w14:textId="77777777" w:rsidR="009F4B8F" w:rsidRPr="00BB08B8" w:rsidRDefault="009F4B8F" w:rsidP="009F4B8F">
            <w:pPr>
              <w:pStyle w:val="ListParagraph"/>
              <w:numPr>
                <w:ilvl w:val="0"/>
                <w:numId w:val="2"/>
              </w:numPr>
              <w:spacing w:before="60" w:after="60" w:line="240" w:lineRule="auto"/>
              <w:ind w:left="432"/>
              <w:jc w:val="both"/>
              <w:rPr>
                <w:rFonts w:ascii="Times New Roman" w:hAnsi="Times New Roman"/>
                <w:b/>
              </w:rPr>
            </w:pPr>
          </w:p>
        </w:tc>
        <w:tc>
          <w:tcPr>
            <w:tcW w:w="3758" w:type="dxa"/>
          </w:tcPr>
          <w:p w14:paraId="0D4D0C04" w14:textId="7753829C" w:rsidR="009F4B8F" w:rsidRPr="00BB08B8" w:rsidRDefault="009F4B8F" w:rsidP="009F4B8F">
            <w:pPr>
              <w:spacing w:before="60" w:after="60"/>
              <w:rPr>
                <w:rFonts w:eastAsiaTheme="minorHAnsi"/>
                <w:b/>
                <w:bCs/>
                <w:sz w:val="22"/>
                <w:szCs w:val="22"/>
              </w:rPr>
            </w:pPr>
            <w:r w:rsidRPr="00BB08B8">
              <w:rPr>
                <w:rFonts w:eastAsiaTheme="minorHAnsi"/>
                <w:b/>
                <w:bCs/>
                <w:sz w:val="22"/>
                <w:szCs w:val="22"/>
              </w:rPr>
              <w:t>Phụ lục 2.14</w:t>
            </w:r>
            <w:r w:rsidR="00B26123">
              <w:rPr>
                <w:rFonts w:eastAsiaTheme="minorHAnsi"/>
                <w:b/>
                <w:bCs/>
                <w:sz w:val="22"/>
                <w:szCs w:val="22"/>
              </w:rPr>
              <w:t xml:space="preserve"> </w:t>
            </w:r>
            <w:r w:rsidRPr="00BB08B8">
              <w:rPr>
                <w:rFonts w:eastAsiaTheme="minorHAnsi"/>
                <w:b/>
                <w:bCs/>
                <w:sz w:val="22"/>
                <w:szCs w:val="22"/>
              </w:rPr>
              <w:t>Thanh toán tiền coi thi, chấm bài</w:t>
            </w:r>
          </w:p>
          <w:p w14:paraId="7EDE4712" w14:textId="006A690F" w:rsidR="009F4B8F" w:rsidRPr="00BB08B8" w:rsidRDefault="009F4B8F" w:rsidP="009F4B8F">
            <w:pPr>
              <w:spacing w:before="60" w:after="60"/>
              <w:rPr>
                <w:b/>
                <w:sz w:val="22"/>
                <w:szCs w:val="22"/>
              </w:rPr>
            </w:pPr>
          </w:p>
        </w:tc>
        <w:tc>
          <w:tcPr>
            <w:tcW w:w="4572" w:type="dxa"/>
          </w:tcPr>
          <w:p w14:paraId="30598430" w14:textId="2F1D95D8" w:rsidR="009F4B8F" w:rsidRPr="00BB08B8" w:rsidRDefault="009F4B8F" w:rsidP="009F4B8F">
            <w:pPr>
              <w:spacing w:before="60" w:after="60"/>
              <w:rPr>
                <w:spacing w:val="-2"/>
                <w:sz w:val="22"/>
                <w:szCs w:val="22"/>
              </w:rPr>
            </w:pPr>
            <w:r w:rsidRPr="00BB08B8">
              <w:rPr>
                <w:bCs/>
                <w:sz w:val="22"/>
                <w:szCs w:val="22"/>
              </w:rPr>
              <w:t>Chưa có</w:t>
            </w:r>
          </w:p>
        </w:tc>
        <w:tc>
          <w:tcPr>
            <w:tcW w:w="5508" w:type="dxa"/>
          </w:tcPr>
          <w:p w14:paraId="2E567CCC" w14:textId="77777777" w:rsidR="009F4B8F" w:rsidRPr="00BB08B8" w:rsidRDefault="009F4B8F" w:rsidP="009F4B8F">
            <w:pPr>
              <w:rPr>
                <w:sz w:val="22"/>
                <w:szCs w:val="22"/>
              </w:rPr>
            </w:pPr>
            <w:r w:rsidRPr="00BB08B8">
              <w:rPr>
                <w:sz w:val="22"/>
                <w:szCs w:val="22"/>
              </w:rPr>
              <w:t xml:space="preserve">1.1. Coi thi kết thúc học phần: </w:t>
            </w:r>
          </w:p>
          <w:p w14:paraId="46FE7B78" w14:textId="77777777" w:rsidR="009F4B8F" w:rsidRPr="00BB08B8" w:rsidRDefault="009F4B8F" w:rsidP="009F4B8F">
            <w:pPr>
              <w:rPr>
                <w:sz w:val="22"/>
                <w:szCs w:val="22"/>
              </w:rPr>
            </w:pPr>
            <w:r w:rsidRPr="00BB08B8">
              <w:rPr>
                <w:sz w:val="22"/>
                <w:szCs w:val="22"/>
              </w:rPr>
              <w:t>Đối với hình thức thi trực tuyến: công hệ số 0,5 so với hình thức thi trực tiếp</w:t>
            </w:r>
          </w:p>
          <w:p w14:paraId="2BD390DF" w14:textId="77777777" w:rsidR="009F4B8F" w:rsidRPr="00BB08B8" w:rsidRDefault="009F4B8F" w:rsidP="009F4B8F">
            <w:pPr>
              <w:rPr>
                <w:sz w:val="22"/>
                <w:szCs w:val="22"/>
              </w:rPr>
            </w:pPr>
            <w:r w:rsidRPr="00BB08B8">
              <w:rPr>
                <w:sz w:val="22"/>
                <w:szCs w:val="22"/>
              </w:rPr>
              <w:t>Bổ sung thù lao chấm bài đối với hình thức chấm tiểu luận:</w:t>
            </w:r>
          </w:p>
          <w:p w14:paraId="6E699287" w14:textId="77777777" w:rsidR="009F4B8F" w:rsidRPr="00BB08B8" w:rsidRDefault="009F4B8F" w:rsidP="009F4B8F">
            <w:pPr>
              <w:rPr>
                <w:sz w:val="22"/>
                <w:szCs w:val="22"/>
              </w:rPr>
            </w:pPr>
            <w:r w:rsidRPr="00BB08B8">
              <w:rPr>
                <w:sz w:val="22"/>
                <w:szCs w:val="22"/>
              </w:rPr>
              <w:t>+ Chấm tiểu luận: 0,1 tiết/ bài (7.600)</w:t>
            </w:r>
          </w:p>
          <w:p w14:paraId="632724E0" w14:textId="77777777" w:rsidR="009F4B8F" w:rsidRPr="00BB08B8" w:rsidRDefault="009F4B8F" w:rsidP="009F4B8F">
            <w:pPr>
              <w:rPr>
                <w:sz w:val="22"/>
                <w:szCs w:val="22"/>
              </w:rPr>
            </w:pPr>
            <w:r w:rsidRPr="00BB08B8">
              <w:rPr>
                <w:sz w:val="22"/>
                <w:szCs w:val="22"/>
              </w:rPr>
              <w:t>+ Chấm tiểu luận trực tuyến không thuyết trình (do GV giảng và chấm):0,2 tiết/ bài (15.200)</w:t>
            </w:r>
          </w:p>
          <w:p w14:paraId="7530E8A5" w14:textId="714D8FC8" w:rsidR="009F4B8F" w:rsidRPr="00F56D25" w:rsidRDefault="00F312E8" w:rsidP="009F4B8F">
            <w:pPr>
              <w:rPr>
                <w:i/>
                <w:iCs/>
                <w:spacing w:val="-2"/>
                <w:sz w:val="22"/>
                <w:szCs w:val="22"/>
              </w:rPr>
            </w:pPr>
            <w:r w:rsidRPr="00F56D25">
              <w:rPr>
                <w:i/>
                <w:iCs/>
                <w:sz w:val="22"/>
                <w:szCs w:val="22"/>
              </w:rPr>
              <w:t>(</w:t>
            </w:r>
            <w:r w:rsidR="009F4B8F" w:rsidRPr="00F56D25">
              <w:rPr>
                <w:i/>
                <w:iCs/>
                <w:sz w:val="22"/>
                <w:szCs w:val="22"/>
              </w:rPr>
              <w:t>Cập nhật theo Quyết định 1843/QĐHKT-KHĐTKT ngày 14/7/2021 do Hiệu trưởng ký</w:t>
            </w:r>
            <w:r w:rsidRPr="00F56D25">
              <w:rPr>
                <w:i/>
                <w:iCs/>
                <w:sz w:val="22"/>
                <w:szCs w:val="22"/>
              </w:rPr>
              <w:t>)</w:t>
            </w:r>
          </w:p>
        </w:tc>
      </w:tr>
      <w:tr w:rsidR="00BB08B8" w:rsidRPr="00BB08B8" w14:paraId="5A3355CC" w14:textId="77777777" w:rsidTr="007032A1">
        <w:trPr>
          <w:trHeight w:val="2027"/>
        </w:trPr>
        <w:tc>
          <w:tcPr>
            <w:tcW w:w="737" w:type="dxa"/>
          </w:tcPr>
          <w:p w14:paraId="47AC7BA4" w14:textId="77777777" w:rsidR="00610465" w:rsidRPr="00BB08B8" w:rsidRDefault="00610465" w:rsidP="00610465">
            <w:pPr>
              <w:pStyle w:val="ListParagraph"/>
              <w:numPr>
                <w:ilvl w:val="0"/>
                <w:numId w:val="2"/>
              </w:numPr>
              <w:spacing w:before="60" w:after="60" w:line="240" w:lineRule="auto"/>
              <w:ind w:left="432"/>
              <w:jc w:val="both"/>
              <w:rPr>
                <w:rFonts w:ascii="Times New Roman" w:hAnsi="Times New Roman"/>
                <w:b/>
              </w:rPr>
            </w:pPr>
          </w:p>
        </w:tc>
        <w:tc>
          <w:tcPr>
            <w:tcW w:w="3758" w:type="dxa"/>
          </w:tcPr>
          <w:p w14:paraId="3F1012D4" w14:textId="7DFCE6A5" w:rsidR="00610465" w:rsidRPr="00BB08B8" w:rsidRDefault="00610465" w:rsidP="00B26123">
            <w:pPr>
              <w:spacing w:before="60" w:after="60"/>
              <w:rPr>
                <w:b/>
                <w:sz w:val="22"/>
                <w:szCs w:val="22"/>
              </w:rPr>
            </w:pPr>
            <w:r w:rsidRPr="00BB08B8">
              <w:rPr>
                <w:rFonts w:eastAsiaTheme="minorHAnsi"/>
                <w:b/>
                <w:bCs/>
                <w:sz w:val="22"/>
                <w:szCs w:val="22"/>
              </w:rPr>
              <w:t>Phụ lục 4</w:t>
            </w:r>
            <w:r w:rsidR="00B26123">
              <w:rPr>
                <w:rFonts w:eastAsiaTheme="minorHAnsi"/>
                <w:b/>
                <w:bCs/>
                <w:sz w:val="22"/>
                <w:szCs w:val="22"/>
              </w:rPr>
              <w:t xml:space="preserve">. </w:t>
            </w:r>
            <w:r w:rsidRPr="00BB08B8">
              <w:rPr>
                <w:b/>
                <w:bCs/>
                <w:sz w:val="22"/>
                <w:szCs w:val="22"/>
              </w:rPr>
              <w:t>Cấp kinh phí quản lý hoạt động công bố quốc tế cho khoa</w:t>
            </w:r>
          </w:p>
        </w:tc>
        <w:tc>
          <w:tcPr>
            <w:tcW w:w="4572" w:type="dxa"/>
          </w:tcPr>
          <w:p w14:paraId="59144B6F" w14:textId="77777777" w:rsidR="00610465" w:rsidRPr="00BB08B8" w:rsidRDefault="00610465" w:rsidP="00610465">
            <w:pPr>
              <w:tabs>
                <w:tab w:val="left" w:pos="1473"/>
              </w:tabs>
              <w:spacing w:before="60" w:after="60"/>
              <w:jc w:val="both"/>
              <w:rPr>
                <w:sz w:val="22"/>
                <w:szCs w:val="22"/>
                <w:shd w:val="clear" w:color="auto" w:fill="FFFFFF"/>
              </w:rPr>
            </w:pPr>
            <w:r w:rsidRPr="00BB08B8">
              <w:rPr>
                <w:sz w:val="22"/>
                <w:szCs w:val="22"/>
                <w:shd w:val="clear" w:color="auto" w:fill="FFFFFF"/>
              </w:rPr>
              <w:t>Cấp kinh phí quản lý cho khoa 5% trên kinh phí của sản phẩm công bố quốc tế đứng tên UEH của viên chức của khoa.</w:t>
            </w:r>
          </w:p>
          <w:p w14:paraId="71BA47BC" w14:textId="7A9ED41C" w:rsidR="00610465" w:rsidRPr="00BB08B8" w:rsidRDefault="00610465" w:rsidP="00610465">
            <w:pPr>
              <w:spacing w:before="60" w:after="60"/>
              <w:rPr>
                <w:sz w:val="22"/>
                <w:szCs w:val="22"/>
              </w:rPr>
            </w:pPr>
            <w:r w:rsidRPr="00BB08B8">
              <w:rPr>
                <w:sz w:val="22"/>
                <w:szCs w:val="22"/>
                <w:shd w:val="clear" w:color="auto" w:fill="FFFFFF"/>
              </w:rPr>
              <w:t>(Nếu nguồn tài trợ ngoài UEH thì tính 5% trên số tiền tương đương cách tính kinh phí được hỗ trợ từ UEH)</w:t>
            </w:r>
          </w:p>
        </w:tc>
        <w:tc>
          <w:tcPr>
            <w:tcW w:w="5508" w:type="dxa"/>
          </w:tcPr>
          <w:p w14:paraId="3A3C40DD" w14:textId="77777777" w:rsidR="00610465" w:rsidRPr="00BB08B8" w:rsidRDefault="00610465" w:rsidP="00610465">
            <w:pPr>
              <w:tabs>
                <w:tab w:val="left" w:pos="1473"/>
              </w:tabs>
              <w:spacing w:before="60" w:after="60"/>
              <w:jc w:val="both"/>
              <w:rPr>
                <w:sz w:val="22"/>
                <w:szCs w:val="22"/>
                <w:shd w:val="clear" w:color="auto" w:fill="FFFFFF"/>
              </w:rPr>
            </w:pPr>
            <w:r w:rsidRPr="00BB08B8">
              <w:rPr>
                <w:sz w:val="22"/>
                <w:szCs w:val="22"/>
                <w:shd w:val="clear" w:color="auto" w:fill="FFFFFF"/>
              </w:rPr>
              <w:t xml:space="preserve">Cấp kinh phí quản lý cho Trường thuộc UEH 5% trên kinh phí của sản phẩm công bố quốc tế đứng tên UEH của viên chức </w:t>
            </w:r>
          </w:p>
          <w:p w14:paraId="3DF77AEB" w14:textId="34914084" w:rsidR="00610465" w:rsidRPr="00BB08B8" w:rsidRDefault="00610465" w:rsidP="00610465">
            <w:pPr>
              <w:spacing w:before="60" w:after="60"/>
              <w:rPr>
                <w:sz w:val="22"/>
                <w:szCs w:val="22"/>
              </w:rPr>
            </w:pPr>
            <w:r w:rsidRPr="00BB08B8">
              <w:rPr>
                <w:sz w:val="22"/>
                <w:szCs w:val="22"/>
                <w:shd w:val="clear" w:color="auto" w:fill="FFFFFF"/>
              </w:rPr>
              <w:t>(Nếu nguồn tài trợ ngoài UEH thì tính 5% trên số tiền tương đương cách tính kinh phí được hỗ trợ từ UEH)</w:t>
            </w:r>
          </w:p>
        </w:tc>
      </w:tr>
      <w:tr w:rsidR="00BB08B8" w:rsidRPr="00BB08B8" w14:paraId="4597DD47" w14:textId="77777777" w:rsidTr="007032A1">
        <w:trPr>
          <w:trHeight w:val="157"/>
        </w:trPr>
        <w:tc>
          <w:tcPr>
            <w:tcW w:w="737" w:type="dxa"/>
          </w:tcPr>
          <w:p w14:paraId="7E6F576F" w14:textId="77777777" w:rsidR="007032A1" w:rsidRPr="00BB08B8" w:rsidRDefault="007032A1" w:rsidP="007032A1">
            <w:pPr>
              <w:pStyle w:val="ListParagraph"/>
              <w:numPr>
                <w:ilvl w:val="0"/>
                <w:numId w:val="2"/>
              </w:numPr>
              <w:spacing w:before="60" w:after="60" w:line="240" w:lineRule="auto"/>
              <w:ind w:left="432"/>
              <w:jc w:val="both"/>
              <w:rPr>
                <w:rFonts w:ascii="Times New Roman" w:hAnsi="Times New Roman"/>
                <w:b/>
              </w:rPr>
            </w:pPr>
          </w:p>
        </w:tc>
        <w:tc>
          <w:tcPr>
            <w:tcW w:w="3758" w:type="dxa"/>
          </w:tcPr>
          <w:p w14:paraId="30C29624" w14:textId="08FE9346" w:rsidR="007032A1" w:rsidRPr="00BB08B8" w:rsidRDefault="007032A1" w:rsidP="00A13F11">
            <w:pPr>
              <w:spacing w:before="60" w:after="60"/>
              <w:rPr>
                <w:b/>
                <w:bCs/>
                <w:sz w:val="22"/>
                <w:szCs w:val="22"/>
              </w:rPr>
            </w:pPr>
            <w:r w:rsidRPr="00BB08B8">
              <w:rPr>
                <w:rFonts w:eastAsiaTheme="minorHAnsi"/>
                <w:b/>
                <w:bCs/>
                <w:sz w:val="22"/>
                <w:szCs w:val="22"/>
              </w:rPr>
              <w:t>Phụ lục 4</w:t>
            </w:r>
            <w:r w:rsidR="005812C6">
              <w:rPr>
                <w:rFonts w:eastAsiaTheme="minorHAnsi"/>
                <w:b/>
                <w:bCs/>
                <w:sz w:val="22"/>
                <w:szCs w:val="22"/>
              </w:rPr>
              <w:t xml:space="preserve">. </w:t>
            </w:r>
            <w:r w:rsidRPr="00BB08B8">
              <w:rPr>
                <w:b/>
                <w:bCs/>
                <w:sz w:val="22"/>
                <w:szCs w:val="22"/>
              </w:rPr>
              <w:t xml:space="preserve">Tăng cường kết nối với doanh nghiệp, chuyên gia trong chương trình đào tạo, </w:t>
            </w:r>
            <w:r w:rsidR="00A13F11" w:rsidRPr="00BB08B8">
              <w:rPr>
                <w:b/>
                <w:bCs/>
                <w:sz w:val="22"/>
                <w:szCs w:val="22"/>
              </w:rPr>
              <w:t>b</w:t>
            </w:r>
            <w:r w:rsidRPr="00BB08B8">
              <w:rPr>
                <w:b/>
                <w:bCs/>
                <w:sz w:val="22"/>
                <w:szCs w:val="22"/>
                <w:lang w:val="vi-VN"/>
              </w:rPr>
              <w:t xml:space="preserve">áo cáo viên </w:t>
            </w:r>
            <w:r w:rsidRPr="00BB08B8">
              <w:rPr>
                <w:b/>
                <w:bCs/>
                <w:sz w:val="22"/>
                <w:szCs w:val="22"/>
              </w:rPr>
              <w:t>cho các hoạt động huấn luyện kỹ năng, hội nghị, hội thảo, báo cáo chuyên đề</w:t>
            </w:r>
          </w:p>
          <w:p w14:paraId="107A45D9" w14:textId="23AC91A2" w:rsidR="007032A1" w:rsidRPr="00BB08B8" w:rsidRDefault="007032A1" w:rsidP="007032A1">
            <w:pPr>
              <w:spacing w:before="60" w:after="60"/>
              <w:rPr>
                <w:b/>
                <w:sz w:val="22"/>
                <w:szCs w:val="22"/>
              </w:rPr>
            </w:pPr>
          </w:p>
        </w:tc>
        <w:tc>
          <w:tcPr>
            <w:tcW w:w="4572" w:type="dxa"/>
          </w:tcPr>
          <w:p w14:paraId="3406B487" w14:textId="7E3C75F4" w:rsidR="007032A1" w:rsidRPr="00BB08B8" w:rsidRDefault="007032A1" w:rsidP="007032A1">
            <w:pPr>
              <w:spacing w:before="60" w:after="60"/>
              <w:jc w:val="both"/>
              <w:rPr>
                <w:sz w:val="22"/>
                <w:szCs w:val="22"/>
              </w:rPr>
            </w:pPr>
            <w:r w:rsidRPr="00BB08B8">
              <w:rPr>
                <w:sz w:val="22"/>
                <w:szCs w:val="22"/>
              </w:rPr>
              <w:t>Các môn học có thể mời chuyên gia từ doanh nghiệp, tổ chức liên quan đến báo cáo chuyên đề, ngoại khóa liên quan đến nội dung giảng dạy:</w:t>
            </w:r>
          </w:p>
          <w:p w14:paraId="00486388" w14:textId="77777777" w:rsidR="007032A1" w:rsidRPr="00BB08B8" w:rsidRDefault="007032A1" w:rsidP="007032A1">
            <w:pPr>
              <w:spacing w:before="60" w:after="60"/>
              <w:rPr>
                <w:sz w:val="22"/>
                <w:szCs w:val="22"/>
              </w:rPr>
            </w:pPr>
            <w:r w:rsidRPr="00BB08B8">
              <w:rPr>
                <w:sz w:val="22"/>
                <w:szCs w:val="22"/>
              </w:rPr>
              <w:t xml:space="preserve">+ Thù lao báo cáo (sau thuế): </w:t>
            </w:r>
            <w:r w:rsidRPr="00BB08B8">
              <w:rPr>
                <w:b/>
                <w:sz w:val="22"/>
                <w:szCs w:val="22"/>
              </w:rPr>
              <w:t>1.500.000đ/buổi</w:t>
            </w:r>
            <w:r w:rsidRPr="00BB08B8">
              <w:rPr>
                <w:sz w:val="22"/>
                <w:szCs w:val="22"/>
              </w:rPr>
              <w:t xml:space="preserve"> (Đại học); </w:t>
            </w:r>
            <w:r w:rsidRPr="00BB08B8">
              <w:rPr>
                <w:b/>
                <w:sz w:val="22"/>
                <w:szCs w:val="22"/>
              </w:rPr>
              <w:t>1.950.000/buổi</w:t>
            </w:r>
            <w:r w:rsidRPr="00BB08B8">
              <w:rPr>
                <w:sz w:val="22"/>
                <w:szCs w:val="22"/>
              </w:rPr>
              <w:t xml:space="preserve"> (SĐH). Lưu ý không phân biệt học hàm, học vị.</w:t>
            </w:r>
          </w:p>
          <w:p w14:paraId="60823079" w14:textId="0AA9FB55" w:rsidR="007032A1" w:rsidRPr="00BB08B8" w:rsidRDefault="007032A1" w:rsidP="007032A1">
            <w:pPr>
              <w:spacing w:before="60" w:after="60"/>
              <w:rPr>
                <w:sz w:val="22"/>
                <w:szCs w:val="22"/>
              </w:rPr>
            </w:pPr>
          </w:p>
        </w:tc>
        <w:tc>
          <w:tcPr>
            <w:tcW w:w="5508" w:type="dxa"/>
          </w:tcPr>
          <w:p w14:paraId="451A5074" w14:textId="77777777" w:rsidR="007032A1" w:rsidRPr="00BB08B8" w:rsidRDefault="007032A1" w:rsidP="007032A1">
            <w:pPr>
              <w:spacing w:before="60" w:after="60"/>
              <w:rPr>
                <w:sz w:val="22"/>
                <w:szCs w:val="22"/>
              </w:rPr>
            </w:pPr>
            <w:r w:rsidRPr="00BB08B8">
              <w:rPr>
                <w:sz w:val="22"/>
                <w:szCs w:val="22"/>
              </w:rPr>
              <w:t xml:space="preserve">Thù lao báo cáo (sau thuế): </w:t>
            </w:r>
          </w:p>
          <w:p w14:paraId="50C857E5" w14:textId="77777777" w:rsidR="007032A1" w:rsidRPr="00BB08B8" w:rsidRDefault="007032A1" w:rsidP="007032A1">
            <w:pPr>
              <w:spacing w:before="60" w:after="60"/>
              <w:rPr>
                <w:sz w:val="22"/>
                <w:szCs w:val="22"/>
              </w:rPr>
            </w:pPr>
            <w:r w:rsidRPr="00BB08B8">
              <w:rPr>
                <w:b/>
                <w:sz w:val="22"/>
                <w:szCs w:val="22"/>
              </w:rPr>
              <w:t>2.000.000/buổi</w:t>
            </w:r>
            <w:r w:rsidRPr="00BB08B8">
              <w:rPr>
                <w:sz w:val="22"/>
                <w:szCs w:val="22"/>
              </w:rPr>
              <w:t xml:space="preserve"> (Đại học); </w:t>
            </w:r>
            <w:r w:rsidRPr="00BB08B8">
              <w:rPr>
                <w:b/>
                <w:sz w:val="22"/>
                <w:szCs w:val="22"/>
              </w:rPr>
              <w:t>2.500.000/buổi</w:t>
            </w:r>
            <w:r w:rsidRPr="00BB08B8">
              <w:rPr>
                <w:sz w:val="22"/>
                <w:szCs w:val="22"/>
              </w:rPr>
              <w:t xml:space="preserve"> (SĐH). </w:t>
            </w:r>
          </w:p>
          <w:p w14:paraId="0B2C8B24" w14:textId="1D8D4CCF" w:rsidR="007032A1" w:rsidRPr="00BB08B8" w:rsidRDefault="007032A1" w:rsidP="007032A1">
            <w:pPr>
              <w:spacing w:before="60" w:after="60"/>
              <w:rPr>
                <w:sz w:val="22"/>
                <w:szCs w:val="22"/>
              </w:rPr>
            </w:pPr>
            <w:r w:rsidRPr="00BB08B8">
              <w:rPr>
                <w:sz w:val="22"/>
                <w:szCs w:val="22"/>
              </w:rPr>
              <w:t>Lưu ý không phân biệt học hàm, học vị.</w:t>
            </w:r>
          </w:p>
          <w:p w14:paraId="7D8A8186" w14:textId="43A17259" w:rsidR="007032A1" w:rsidRPr="00BB08B8" w:rsidRDefault="007032A1" w:rsidP="007032A1">
            <w:pPr>
              <w:rPr>
                <w:b/>
                <w:bCs/>
                <w:sz w:val="22"/>
                <w:szCs w:val="22"/>
              </w:rPr>
            </w:pPr>
          </w:p>
        </w:tc>
      </w:tr>
      <w:tr w:rsidR="00BB08B8" w:rsidRPr="00BB08B8" w14:paraId="0176AFD5" w14:textId="77777777" w:rsidTr="007032A1">
        <w:trPr>
          <w:trHeight w:val="157"/>
        </w:trPr>
        <w:tc>
          <w:tcPr>
            <w:tcW w:w="737" w:type="dxa"/>
            <w:tcBorders>
              <w:bottom w:val="single" w:sz="4" w:space="0" w:color="auto"/>
            </w:tcBorders>
          </w:tcPr>
          <w:p w14:paraId="6E10C056" w14:textId="77777777" w:rsidR="007032A1" w:rsidRPr="00BB08B8" w:rsidRDefault="007032A1" w:rsidP="007032A1">
            <w:pPr>
              <w:pStyle w:val="ListParagraph"/>
              <w:numPr>
                <w:ilvl w:val="0"/>
                <w:numId w:val="2"/>
              </w:numPr>
              <w:spacing w:before="60" w:after="60" w:line="240" w:lineRule="auto"/>
              <w:ind w:left="432"/>
              <w:jc w:val="both"/>
              <w:rPr>
                <w:rFonts w:ascii="Times New Roman" w:hAnsi="Times New Roman"/>
                <w:b/>
              </w:rPr>
            </w:pPr>
          </w:p>
        </w:tc>
        <w:tc>
          <w:tcPr>
            <w:tcW w:w="3758" w:type="dxa"/>
            <w:tcBorders>
              <w:bottom w:val="single" w:sz="4" w:space="0" w:color="auto"/>
            </w:tcBorders>
          </w:tcPr>
          <w:p w14:paraId="13AF9164" w14:textId="5013B3FC" w:rsidR="007032A1" w:rsidRPr="00BB08B8" w:rsidRDefault="007032A1" w:rsidP="007032A1">
            <w:pPr>
              <w:spacing w:before="60" w:after="60"/>
              <w:rPr>
                <w:b/>
                <w:sz w:val="22"/>
                <w:szCs w:val="22"/>
              </w:rPr>
            </w:pPr>
            <w:r w:rsidRPr="00BB08B8">
              <w:rPr>
                <w:b/>
                <w:bCs/>
                <w:sz w:val="22"/>
                <w:szCs w:val="22"/>
              </w:rPr>
              <w:t xml:space="preserve">Phụ lục 11. </w:t>
            </w:r>
            <w:bookmarkStart w:id="0" w:name="_Toc150125021"/>
            <w:r w:rsidRPr="00BB08B8">
              <w:rPr>
                <w:b/>
                <w:bCs/>
                <w:sz w:val="22"/>
                <w:szCs w:val="22"/>
              </w:rPr>
              <w:t xml:space="preserve"> Phát triển chương trình đào tạo và tài liệu học tập</w:t>
            </w:r>
            <w:bookmarkEnd w:id="0"/>
          </w:p>
        </w:tc>
        <w:tc>
          <w:tcPr>
            <w:tcW w:w="4572" w:type="dxa"/>
            <w:tcBorders>
              <w:bottom w:val="single" w:sz="4" w:space="0" w:color="auto"/>
            </w:tcBorders>
          </w:tcPr>
          <w:p w14:paraId="52311B79" w14:textId="728394C9" w:rsidR="007032A1" w:rsidRPr="00BB08B8" w:rsidRDefault="007032A1" w:rsidP="007032A1">
            <w:pPr>
              <w:spacing w:before="60" w:after="60"/>
              <w:rPr>
                <w:sz w:val="22"/>
                <w:szCs w:val="22"/>
              </w:rPr>
            </w:pPr>
            <w:r w:rsidRPr="00BB08B8">
              <w:rPr>
                <w:b/>
                <w:bCs/>
                <w:sz w:val="22"/>
                <w:szCs w:val="22"/>
              </w:rPr>
              <w:t>Kính phí các mục 1,2,3,4 (</w:t>
            </w:r>
            <w:r w:rsidRPr="00BB08B8">
              <w:rPr>
                <w:sz w:val="22"/>
                <w:szCs w:val="22"/>
              </w:rPr>
              <w:t xml:space="preserve"> Xây dựng đề án mở ngành/ chuyên ngành/Chương trình liên kết): Kinh phí cấp cho các Khoa/ Viện/ Ban đào tạo/Phòng chức năng</w:t>
            </w:r>
          </w:p>
        </w:tc>
        <w:tc>
          <w:tcPr>
            <w:tcW w:w="5508" w:type="dxa"/>
            <w:tcBorders>
              <w:bottom w:val="single" w:sz="4" w:space="0" w:color="auto"/>
            </w:tcBorders>
          </w:tcPr>
          <w:p w14:paraId="769C44F2" w14:textId="50C00B6F" w:rsidR="007032A1" w:rsidRPr="00BB08B8" w:rsidRDefault="007032A1" w:rsidP="007032A1">
            <w:pPr>
              <w:spacing w:before="120" w:line="312" w:lineRule="auto"/>
              <w:jc w:val="both"/>
              <w:rPr>
                <w:sz w:val="22"/>
                <w:szCs w:val="22"/>
              </w:rPr>
            </w:pPr>
            <w:r w:rsidRPr="00BB08B8">
              <w:rPr>
                <w:b/>
                <w:bCs/>
                <w:sz w:val="22"/>
                <w:szCs w:val="22"/>
              </w:rPr>
              <w:t>K</w:t>
            </w:r>
            <w:r w:rsidR="00A5566B" w:rsidRPr="00BB08B8">
              <w:rPr>
                <w:b/>
                <w:bCs/>
                <w:sz w:val="22"/>
                <w:szCs w:val="22"/>
              </w:rPr>
              <w:t>i</w:t>
            </w:r>
            <w:r w:rsidRPr="00BB08B8">
              <w:rPr>
                <w:b/>
                <w:bCs/>
                <w:sz w:val="22"/>
                <w:szCs w:val="22"/>
              </w:rPr>
              <w:t>nh phí các mục 1,2,3,4 (</w:t>
            </w:r>
            <w:r w:rsidRPr="00BB08B8">
              <w:rPr>
                <w:sz w:val="22"/>
                <w:szCs w:val="22"/>
              </w:rPr>
              <w:t xml:space="preserve"> Xây dựng đề án mở ngành/ chuyên ngành/Chương trình liên kết): Kinh phí cấp cho các Trường thuộc UEH</w:t>
            </w:r>
          </w:p>
          <w:p w14:paraId="7DE97D3E" w14:textId="2E5BAA67" w:rsidR="007032A1" w:rsidRPr="00BB08B8" w:rsidRDefault="007032A1" w:rsidP="007032A1">
            <w:pPr>
              <w:rPr>
                <w:b/>
                <w:bCs/>
                <w:sz w:val="22"/>
                <w:szCs w:val="22"/>
              </w:rPr>
            </w:pPr>
          </w:p>
        </w:tc>
      </w:tr>
      <w:tr w:rsidR="00BB08B8" w:rsidRPr="00BB08B8" w14:paraId="56B69C65" w14:textId="77777777" w:rsidTr="007032A1">
        <w:trPr>
          <w:trHeight w:val="157"/>
        </w:trPr>
        <w:tc>
          <w:tcPr>
            <w:tcW w:w="737" w:type="dxa"/>
            <w:tcBorders>
              <w:bottom w:val="single" w:sz="4" w:space="0" w:color="auto"/>
            </w:tcBorders>
          </w:tcPr>
          <w:p w14:paraId="071729C7" w14:textId="77777777" w:rsidR="00EB218F" w:rsidRPr="00BB08B8" w:rsidRDefault="00EB218F" w:rsidP="00EB218F">
            <w:pPr>
              <w:pStyle w:val="ListParagraph"/>
              <w:numPr>
                <w:ilvl w:val="0"/>
                <w:numId w:val="2"/>
              </w:numPr>
              <w:spacing w:before="60" w:after="60" w:line="240" w:lineRule="auto"/>
              <w:ind w:left="432"/>
              <w:jc w:val="both"/>
              <w:rPr>
                <w:rFonts w:ascii="Times New Roman" w:hAnsi="Times New Roman"/>
                <w:b/>
              </w:rPr>
            </w:pPr>
          </w:p>
        </w:tc>
        <w:tc>
          <w:tcPr>
            <w:tcW w:w="3758" w:type="dxa"/>
            <w:tcBorders>
              <w:bottom w:val="single" w:sz="4" w:space="0" w:color="auto"/>
            </w:tcBorders>
          </w:tcPr>
          <w:p w14:paraId="09398B7A" w14:textId="068CEB86" w:rsidR="00EB218F" w:rsidRPr="00BB08B8" w:rsidRDefault="00EB218F" w:rsidP="00EB218F">
            <w:pPr>
              <w:spacing w:before="60" w:after="60"/>
              <w:rPr>
                <w:b/>
                <w:sz w:val="22"/>
                <w:szCs w:val="22"/>
              </w:rPr>
            </w:pPr>
            <w:r w:rsidRPr="00BB08B8">
              <w:rPr>
                <w:b/>
                <w:bCs/>
                <w:sz w:val="22"/>
                <w:szCs w:val="22"/>
              </w:rPr>
              <w:t>Phụ lục 14</w:t>
            </w:r>
            <w:r w:rsidR="00A869D2">
              <w:rPr>
                <w:b/>
                <w:bCs/>
                <w:sz w:val="22"/>
                <w:szCs w:val="22"/>
              </w:rPr>
              <w:t xml:space="preserve"> </w:t>
            </w:r>
            <w:r w:rsidRPr="00BB08B8">
              <w:rPr>
                <w:b/>
                <w:bCs/>
                <w:sz w:val="22"/>
                <w:szCs w:val="22"/>
              </w:rPr>
              <w:t>Hỗ trợ cước phí điện thoại di động</w:t>
            </w:r>
          </w:p>
        </w:tc>
        <w:tc>
          <w:tcPr>
            <w:tcW w:w="4572" w:type="dxa"/>
            <w:tcBorders>
              <w:bottom w:val="single" w:sz="4" w:space="0" w:color="auto"/>
            </w:tcBorders>
          </w:tcPr>
          <w:p w14:paraId="4F84105B" w14:textId="53E9CB68" w:rsidR="00EB218F" w:rsidRPr="00BB08B8" w:rsidRDefault="00EB218F" w:rsidP="00F56D25">
            <w:pPr>
              <w:tabs>
                <w:tab w:val="left" w:pos="1832"/>
              </w:tabs>
              <w:rPr>
                <w:sz w:val="22"/>
                <w:szCs w:val="22"/>
              </w:rPr>
            </w:pPr>
            <w:r w:rsidRPr="00BB08B8">
              <w:rPr>
                <w:sz w:val="22"/>
                <w:szCs w:val="22"/>
              </w:rPr>
              <w:t>Hiệu trưởng, Chủ tịch Hội đồng trường, Phó Hiệu trưởng, Chủ tịch Hội đồng tư vấn, Bí thư Đảng ủy, phó bí thư Đảng ủy: 500.000</w:t>
            </w:r>
            <w:r w:rsidR="00F56D25">
              <w:rPr>
                <w:sz w:val="22"/>
                <w:szCs w:val="22"/>
              </w:rPr>
              <w:t xml:space="preserve"> đồng</w:t>
            </w:r>
          </w:p>
          <w:p w14:paraId="396BF978" w14:textId="18744987" w:rsidR="00EB218F" w:rsidRPr="00BB08B8" w:rsidRDefault="00EB218F" w:rsidP="00EB218F">
            <w:pPr>
              <w:spacing w:before="60" w:after="60"/>
              <w:rPr>
                <w:rFonts w:eastAsiaTheme="minorHAnsi"/>
                <w:sz w:val="22"/>
                <w:szCs w:val="22"/>
              </w:rPr>
            </w:pPr>
            <w:r w:rsidRPr="00BB08B8">
              <w:rPr>
                <w:sz w:val="22"/>
                <w:szCs w:val="22"/>
              </w:rPr>
              <w:t>BGH trường thành viên: chưa có</w:t>
            </w:r>
          </w:p>
        </w:tc>
        <w:tc>
          <w:tcPr>
            <w:tcW w:w="5508" w:type="dxa"/>
            <w:tcBorders>
              <w:bottom w:val="single" w:sz="4" w:space="0" w:color="auto"/>
            </w:tcBorders>
          </w:tcPr>
          <w:p w14:paraId="40358B0C" w14:textId="52C4DDFB" w:rsidR="00EB218F" w:rsidRPr="00BB08B8" w:rsidRDefault="00EB218F" w:rsidP="00EB218F">
            <w:pPr>
              <w:spacing w:before="60" w:after="60"/>
              <w:rPr>
                <w:sz w:val="22"/>
                <w:szCs w:val="22"/>
              </w:rPr>
            </w:pPr>
            <w:r w:rsidRPr="00BB08B8">
              <w:rPr>
                <w:sz w:val="22"/>
                <w:szCs w:val="22"/>
              </w:rPr>
              <w:t>Hiệu trưởng, Chủ tịch Hội đồng trường, Phó Hiệu trưởng, Chủ tịch Hội đồng tư vấn, Bí thư Đảng ủy, phó bí thư Đảng ủy: 600.000</w:t>
            </w:r>
            <w:r w:rsidR="00F56D25">
              <w:rPr>
                <w:sz w:val="22"/>
                <w:szCs w:val="22"/>
              </w:rPr>
              <w:t xml:space="preserve"> đồng.</w:t>
            </w:r>
          </w:p>
          <w:p w14:paraId="4871F451" w14:textId="2B64A1BB" w:rsidR="00EB218F" w:rsidRPr="00BB08B8" w:rsidRDefault="00EB218F" w:rsidP="00EB218F">
            <w:pPr>
              <w:spacing w:before="60" w:after="60"/>
              <w:rPr>
                <w:rFonts w:eastAsiaTheme="minorHAnsi"/>
                <w:sz w:val="22"/>
                <w:szCs w:val="22"/>
              </w:rPr>
            </w:pPr>
            <w:r w:rsidRPr="00BB08B8">
              <w:rPr>
                <w:sz w:val="22"/>
                <w:szCs w:val="22"/>
              </w:rPr>
              <w:t>BGH trường thành viên: 500.000</w:t>
            </w:r>
            <w:r w:rsidR="00F56D25">
              <w:rPr>
                <w:sz w:val="22"/>
                <w:szCs w:val="22"/>
              </w:rPr>
              <w:t xml:space="preserve"> đồng.</w:t>
            </w:r>
          </w:p>
        </w:tc>
      </w:tr>
      <w:tr w:rsidR="00BB08B8" w:rsidRPr="00BB08B8" w14:paraId="7A6724BF" w14:textId="77777777" w:rsidTr="00793B81">
        <w:trPr>
          <w:trHeight w:val="157"/>
        </w:trPr>
        <w:tc>
          <w:tcPr>
            <w:tcW w:w="737" w:type="dxa"/>
            <w:tcBorders>
              <w:bottom w:val="nil"/>
            </w:tcBorders>
            <w:shd w:val="clear" w:color="auto" w:fill="BFBFBF" w:themeFill="background1" w:themeFillShade="BF"/>
          </w:tcPr>
          <w:p w14:paraId="369AA7C8" w14:textId="77777777" w:rsidR="00EB218F" w:rsidRPr="00BB08B8" w:rsidRDefault="00EB218F" w:rsidP="00EB218F">
            <w:pPr>
              <w:spacing w:before="60" w:after="60"/>
              <w:rPr>
                <w:b/>
              </w:rPr>
            </w:pPr>
            <w:r w:rsidRPr="00BB08B8">
              <w:rPr>
                <w:b/>
              </w:rPr>
              <w:t>III</w:t>
            </w:r>
          </w:p>
        </w:tc>
        <w:tc>
          <w:tcPr>
            <w:tcW w:w="13838" w:type="dxa"/>
            <w:gridSpan w:val="3"/>
            <w:tcBorders>
              <w:bottom w:val="nil"/>
            </w:tcBorders>
            <w:shd w:val="clear" w:color="auto" w:fill="BFBFBF" w:themeFill="background1" w:themeFillShade="BF"/>
          </w:tcPr>
          <w:p w14:paraId="66237C5F" w14:textId="77777777" w:rsidR="00EB218F" w:rsidRPr="00BB08B8" w:rsidRDefault="00EB218F" w:rsidP="00EB218F">
            <w:pPr>
              <w:spacing w:before="60" w:after="60"/>
              <w:rPr>
                <w:b/>
                <w:sz w:val="22"/>
                <w:szCs w:val="22"/>
              </w:rPr>
            </w:pPr>
            <w:r w:rsidRPr="00BB08B8">
              <w:rPr>
                <w:b/>
                <w:sz w:val="22"/>
                <w:szCs w:val="22"/>
              </w:rPr>
              <w:t>NGHIÊN CỨU KHOA HỌC</w:t>
            </w:r>
          </w:p>
        </w:tc>
      </w:tr>
      <w:tr w:rsidR="00DB3A9B" w:rsidRPr="00BB08B8" w14:paraId="6C6A36B6" w14:textId="77777777" w:rsidTr="007032A1">
        <w:trPr>
          <w:trHeight w:val="1511"/>
        </w:trPr>
        <w:tc>
          <w:tcPr>
            <w:tcW w:w="737" w:type="dxa"/>
          </w:tcPr>
          <w:p w14:paraId="61F9A43A" w14:textId="77777777" w:rsidR="00DB3A9B" w:rsidRPr="00E91C60" w:rsidRDefault="00DB3A9B" w:rsidP="00E91C60">
            <w:pPr>
              <w:pStyle w:val="ListParagraph"/>
              <w:numPr>
                <w:ilvl w:val="0"/>
                <w:numId w:val="5"/>
              </w:numPr>
              <w:spacing w:before="60" w:after="60" w:line="240" w:lineRule="auto"/>
              <w:ind w:left="432"/>
              <w:jc w:val="both"/>
              <w:rPr>
                <w:b/>
              </w:rPr>
            </w:pPr>
          </w:p>
        </w:tc>
        <w:tc>
          <w:tcPr>
            <w:tcW w:w="3758" w:type="dxa"/>
          </w:tcPr>
          <w:p w14:paraId="51B6C858" w14:textId="22E22E3C" w:rsidR="00DB3A9B" w:rsidRPr="00FB6A3F" w:rsidRDefault="00DB3A9B" w:rsidP="00FB6A3F">
            <w:pPr>
              <w:spacing w:before="60" w:after="60"/>
              <w:rPr>
                <w:b/>
                <w:sz w:val="22"/>
                <w:szCs w:val="22"/>
              </w:rPr>
            </w:pPr>
            <w:r w:rsidRPr="001353D4">
              <w:rPr>
                <w:b/>
                <w:sz w:val="22"/>
                <w:szCs w:val="22"/>
              </w:rPr>
              <w:t>Phụ lục 9.</w:t>
            </w:r>
            <w:r w:rsidR="00FB6A3F">
              <w:rPr>
                <w:b/>
                <w:sz w:val="22"/>
                <w:szCs w:val="22"/>
              </w:rPr>
              <w:t xml:space="preserve"> </w:t>
            </w:r>
            <w:r w:rsidRPr="001353D4">
              <w:rPr>
                <w:b/>
                <w:sz w:val="22"/>
                <w:szCs w:val="22"/>
              </w:rPr>
              <w:t xml:space="preserve">Mục </w:t>
            </w:r>
            <w:r w:rsidRPr="00FB6A3F">
              <w:rPr>
                <w:b/>
                <w:sz w:val="22"/>
                <w:szCs w:val="22"/>
              </w:rPr>
              <w:t>7</w:t>
            </w:r>
            <w:r w:rsidR="00FB6A3F" w:rsidRPr="00FB6A3F">
              <w:rPr>
                <w:b/>
                <w:sz w:val="22"/>
                <w:szCs w:val="22"/>
              </w:rPr>
              <w:t xml:space="preserve"> </w:t>
            </w:r>
            <w:r w:rsidR="00FB6A3F" w:rsidRPr="00FB6A3F">
              <w:rPr>
                <w:b/>
                <w:sz w:val="22"/>
                <w:szCs w:val="22"/>
                <w:lang w:val="en-GB"/>
              </w:rPr>
              <w:t>Hỗ trợ GV  đề xuất,  viết thuyết minh, tham gia các  đề tài cấp Nhà nước, đề tài cấp Bộ, cấp tỉnh do UEH chủ trì</w:t>
            </w:r>
          </w:p>
          <w:p w14:paraId="411E3430" w14:textId="704CE9EB" w:rsidR="00FB6A3F" w:rsidRPr="00BB08B8" w:rsidRDefault="00FB6A3F" w:rsidP="00FB6A3F">
            <w:pPr>
              <w:spacing w:before="60" w:after="60"/>
              <w:jc w:val="both"/>
              <w:rPr>
                <w:b/>
                <w:sz w:val="22"/>
                <w:szCs w:val="22"/>
              </w:rPr>
            </w:pPr>
          </w:p>
        </w:tc>
        <w:tc>
          <w:tcPr>
            <w:tcW w:w="4572" w:type="dxa"/>
          </w:tcPr>
          <w:p w14:paraId="3EC4FD97" w14:textId="2BE9BF78" w:rsidR="00DB3A9B" w:rsidRPr="00BB08B8" w:rsidRDefault="00DB3A9B" w:rsidP="00DB3A9B">
            <w:pPr>
              <w:shd w:val="clear" w:color="auto" w:fill="FFFFFF"/>
              <w:spacing w:before="60" w:after="60"/>
              <w:rPr>
                <w:sz w:val="22"/>
                <w:szCs w:val="22"/>
              </w:rPr>
            </w:pPr>
            <w:r w:rsidRPr="001353D4">
              <w:rPr>
                <w:sz w:val="22"/>
                <w:szCs w:val="22"/>
                <w:lang w:val="en-GB"/>
              </w:rPr>
              <w:t xml:space="preserve">Hỗ trợ 10 tr/đề tài khi viết thuyết minh đấu thầu đề tài cấp Nhà nước, đề tài Nafosted; hoặc 35tr/đề tài nếu đề tài không được chấp thuận và chuyển sang đề tài cấp trường. </w:t>
            </w:r>
          </w:p>
        </w:tc>
        <w:tc>
          <w:tcPr>
            <w:tcW w:w="5508" w:type="dxa"/>
          </w:tcPr>
          <w:p w14:paraId="41632E8B" w14:textId="3D01999C" w:rsidR="00DB3A9B" w:rsidRPr="001353D4" w:rsidRDefault="00DB3A9B" w:rsidP="00DB3A9B">
            <w:pPr>
              <w:spacing w:before="120"/>
              <w:ind w:right="-43"/>
              <w:jc w:val="both"/>
              <w:rPr>
                <w:sz w:val="22"/>
                <w:szCs w:val="22"/>
                <w:lang w:val="en-GB"/>
              </w:rPr>
            </w:pPr>
            <w:r w:rsidRPr="001353D4">
              <w:rPr>
                <w:sz w:val="22"/>
                <w:szCs w:val="22"/>
                <w:lang w:val="en-GB"/>
              </w:rPr>
              <w:t>Hỗ trợ 15 tr/đề tài khi viết thuyết minh đấu thầu đề tài cấp Nhà nước</w:t>
            </w:r>
            <w:r w:rsidR="00E91C60">
              <w:rPr>
                <w:sz w:val="22"/>
                <w:szCs w:val="22"/>
                <w:lang w:val="en-GB"/>
              </w:rPr>
              <w:t>.</w:t>
            </w:r>
          </w:p>
          <w:p w14:paraId="14FD5D12" w14:textId="77777777" w:rsidR="00DB3A9B" w:rsidRPr="001353D4" w:rsidRDefault="00DB3A9B" w:rsidP="00DB3A9B">
            <w:pPr>
              <w:spacing w:before="120"/>
              <w:ind w:right="-43"/>
              <w:jc w:val="both"/>
              <w:rPr>
                <w:sz w:val="22"/>
                <w:szCs w:val="22"/>
                <w:lang w:val="en-GB"/>
              </w:rPr>
            </w:pPr>
            <w:r w:rsidRPr="001353D4">
              <w:rPr>
                <w:sz w:val="22"/>
                <w:szCs w:val="22"/>
                <w:lang w:val="en-GB"/>
              </w:rPr>
              <w:t>Hỗ trợ 10 tr/đề tài khi viết thuyết minh đấu thầu đề tài đề tài Nafosted</w:t>
            </w:r>
          </w:p>
          <w:p w14:paraId="56E83575" w14:textId="399A0CDF" w:rsidR="00DB3A9B" w:rsidRPr="001353D4" w:rsidRDefault="00DB3A9B" w:rsidP="00DB3A9B">
            <w:pPr>
              <w:spacing w:before="120"/>
              <w:ind w:right="-43"/>
              <w:jc w:val="both"/>
              <w:rPr>
                <w:sz w:val="22"/>
                <w:szCs w:val="22"/>
                <w:lang w:val="en-GB"/>
              </w:rPr>
            </w:pPr>
            <w:r w:rsidRPr="001353D4">
              <w:rPr>
                <w:sz w:val="22"/>
                <w:szCs w:val="22"/>
                <w:lang w:val="en-GB"/>
              </w:rPr>
              <w:t>Hỗ trợ 35tr/đề tài nếu đề tài không được chấp thuận và chuyển sang đề tài cấp trường.</w:t>
            </w:r>
          </w:p>
          <w:p w14:paraId="329DD7BD" w14:textId="217C0838" w:rsidR="00DB3A9B" w:rsidRPr="00BB08B8" w:rsidRDefault="00DB3A9B" w:rsidP="00DB3A9B">
            <w:pPr>
              <w:tabs>
                <w:tab w:val="left" w:pos="340"/>
              </w:tabs>
              <w:spacing w:after="160" w:line="256" w:lineRule="auto"/>
              <w:jc w:val="both"/>
              <w:rPr>
                <w:sz w:val="22"/>
                <w:szCs w:val="22"/>
              </w:rPr>
            </w:pPr>
          </w:p>
        </w:tc>
      </w:tr>
      <w:tr w:rsidR="00311689" w:rsidRPr="00311689" w14:paraId="0E603BDF" w14:textId="77777777" w:rsidTr="007032A1">
        <w:trPr>
          <w:trHeight w:val="411"/>
        </w:trPr>
        <w:tc>
          <w:tcPr>
            <w:tcW w:w="737" w:type="dxa"/>
          </w:tcPr>
          <w:p w14:paraId="41C1E824" w14:textId="77777777" w:rsidR="00DB3A9B" w:rsidRPr="00311689" w:rsidRDefault="00DB3A9B" w:rsidP="00E91C60">
            <w:pPr>
              <w:pStyle w:val="ListParagraph"/>
              <w:numPr>
                <w:ilvl w:val="0"/>
                <w:numId w:val="5"/>
              </w:numPr>
              <w:spacing w:before="60" w:after="60" w:line="240" w:lineRule="auto"/>
              <w:ind w:left="432"/>
              <w:jc w:val="both"/>
              <w:rPr>
                <w:b/>
              </w:rPr>
            </w:pPr>
          </w:p>
        </w:tc>
        <w:tc>
          <w:tcPr>
            <w:tcW w:w="3758" w:type="dxa"/>
          </w:tcPr>
          <w:p w14:paraId="676FD083" w14:textId="77777777" w:rsidR="00DB3A9B" w:rsidRPr="00311689" w:rsidRDefault="00DB3A9B" w:rsidP="00DB3A9B">
            <w:pPr>
              <w:tabs>
                <w:tab w:val="left" w:pos="993"/>
              </w:tabs>
              <w:spacing w:after="160" w:line="259" w:lineRule="auto"/>
              <w:jc w:val="both"/>
              <w:rPr>
                <w:b/>
                <w:sz w:val="22"/>
                <w:szCs w:val="22"/>
              </w:rPr>
            </w:pPr>
            <w:r w:rsidRPr="00311689">
              <w:rPr>
                <w:b/>
                <w:sz w:val="22"/>
                <w:szCs w:val="22"/>
              </w:rPr>
              <w:t>Phụ lục 10</w:t>
            </w:r>
          </w:p>
          <w:p w14:paraId="479F159E" w14:textId="77777777" w:rsidR="00DB3A9B" w:rsidRPr="00311689" w:rsidRDefault="00DB3A9B" w:rsidP="00DB3A9B">
            <w:pPr>
              <w:tabs>
                <w:tab w:val="left" w:pos="993"/>
              </w:tabs>
              <w:spacing w:after="160" w:line="259" w:lineRule="auto"/>
              <w:jc w:val="both"/>
              <w:rPr>
                <w:b/>
                <w:sz w:val="22"/>
                <w:szCs w:val="22"/>
              </w:rPr>
            </w:pPr>
            <w:r w:rsidRPr="00311689">
              <w:rPr>
                <w:b/>
                <w:bCs/>
                <w:sz w:val="22"/>
                <w:szCs w:val="22"/>
              </w:rPr>
              <w:t xml:space="preserve">Mục 6: Hỗ trợ </w:t>
            </w:r>
            <w:r w:rsidRPr="00311689">
              <w:rPr>
                <w:b/>
                <w:sz w:val="22"/>
                <w:szCs w:val="22"/>
              </w:rPr>
              <w:t>viên chức</w:t>
            </w:r>
            <w:r w:rsidRPr="00311689">
              <w:rPr>
                <w:b/>
                <w:bCs/>
                <w:sz w:val="22"/>
                <w:szCs w:val="22"/>
              </w:rPr>
              <w:t xml:space="preserve"> có bài báo khoa học đăng trên các tạp chí và kỷ yếu hội thảo quốc tế</w:t>
            </w:r>
          </w:p>
          <w:p w14:paraId="46F38904" w14:textId="47EC6817" w:rsidR="00DB3A9B" w:rsidRPr="00311689" w:rsidRDefault="00DB3A9B" w:rsidP="00DB3A9B">
            <w:pPr>
              <w:spacing w:before="60" w:after="60"/>
              <w:rPr>
                <w:b/>
                <w:sz w:val="22"/>
                <w:szCs w:val="22"/>
              </w:rPr>
            </w:pPr>
          </w:p>
        </w:tc>
        <w:tc>
          <w:tcPr>
            <w:tcW w:w="4572" w:type="dxa"/>
          </w:tcPr>
          <w:p w14:paraId="3D0D3B0C" w14:textId="77777777" w:rsidR="00DB3A9B" w:rsidRPr="00311689" w:rsidRDefault="00DB3A9B" w:rsidP="00DB3A9B">
            <w:pPr>
              <w:rPr>
                <w:sz w:val="22"/>
                <w:szCs w:val="22"/>
              </w:rPr>
            </w:pPr>
            <w:r w:rsidRPr="00311689">
              <w:rPr>
                <w:sz w:val="22"/>
                <w:szCs w:val="22"/>
              </w:rPr>
              <w:t>Tổng mức tài trợ/thưởng tối đa cho 01 cá nhân trong 01 năm là 500.000.000 đồng (bắt đầu từ ngày 01/01 đến ngày 31/12). Nhà trường sẽ xem xét cụ thể đối với những trường hợp cần mức tài trợ cao hơn.</w:t>
            </w:r>
          </w:p>
          <w:p w14:paraId="07DC336D" w14:textId="4431DCB2" w:rsidR="00DB3A9B" w:rsidRPr="00311689" w:rsidRDefault="00DB3A9B" w:rsidP="00DB3A9B">
            <w:pPr>
              <w:tabs>
                <w:tab w:val="left" w:pos="851"/>
              </w:tabs>
              <w:spacing w:after="160" w:line="256" w:lineRule="auto"/>
              <w:jc w:val="both"/>
              <w:rPr>
                <w:sz w:val="22"/>
                <w:szCs w:val="22"/>
              </w:rPr>
            </w:pPr>
          </w:p>
        </w:tc>
        <w:tc>
          <w:tcPr>
            <w:tcW w:w="5508" w:type="dxa"/>
          </w:tcPr>
          <w:p w14:paraId="0991B25A" w14:textId="77777777" w:rsidR="00E91C60" w:rsidRPr="00FE28B5" w:rsidRDefault="00E91C60" w:rsidP="00E91C60">
            <w:pPr>
              <w:rPr>
                <w:color w:val="000000" w:themeColor="text1"/>
                <w:sz w:val="22"/>
                <w:szCs w:val="22"/>
              </w:rPr>
            </w:pPr>
            <w:r w:rsidRPr="00FE28B5">
              <w:rPr>
                <w:color w:val="000000" w:themeColor="text1"/>
                <w:sz w:val="22"/>
                <w:szCs w:val="22"/>
              </w:rPr>
              <w:t>Tổng mức tài trợ/thưởng tối đa cho 01 cá nhân trong 01 năm là 500.000.000 đồng. Áp dụng đối với bài nộp từ 01/01/2021 trở về sau.</w:t>
            </w:r>
          </w:p>
          <w:p w14:paraId="25AD8F53" w14:textId="38738E96" w:rsidR="00DB3A9B" w:rsidRPr="00FE28B5" w:rsidRDefault="00DB3A9B" w:rsidP="00DB3A9B">
            <w:pPr>
              <w:tabs>
                <w:tab w:val="left" w:pos="340"/>
              </w:tabs>
              <w:spacing w:after="160" w:line="256" w:lineRule="auto"/>
              <w:jc w:val="both"/>
              <w:rPr>
                <w:color w:val="000000" w:themeColor="text1"/>
                <w:sz w:val="22"/>
                <w:szCs w:val="22"/>
              </w:rPr>
            </w:pPr>
          </w:p>
        </w:tc>
      </w:tr>
      <w:tr w:rsidR="00311689" w:rsidRPr="00311689" w14:paraId="78F8B7F3" w14:textId="77777777" w:rsidTr="007032A1">
        <w:trPr>
          <w:trHeight w:val="2330"/>
        </w:trPr>
        <w:tc>
          <w:tcPr>
            <w:tcW w:w="737" w:type="dxa"/>
          </w:tcPr>
          <w:p w14:paraId="1CE58FE3" w14:textId="77777777" w:rsidR="00F31A5C" w:rsidRPr="00311689" w:rsidRDefault="00F31A5C" w:rsidP="00E91C60">
            <w:pPr>
              <w:pStyle w:val="ListParagraph"/>
              <w:numPr>
                <w:ilvl w:val="0"/>
                <w:numId w:val="5"/>
              </w:numPr>
              <w:spacing w:before="60" w:after="60" w:line="240" w:lineRule="auto"/>
              <w:ind w:left="432"/>
              <w:jc w:val="both"/>
              <w:rPr>
                <w:rFonts w:ascii="Times New Roman" w:hAnsi="Times New Roman"/>
                <w:b/>
              </w:rPr>
            </w:pPr>
          </w:p>
        </w:tc>
        <w:tc>
          <w:tcPr>
            <w:tcW w:w="3758" w:type="dxa"/>
          </w:tcPr>
          <w:p w14:paraId="4E56BD03" w14:textId="77777777" w:rsidR="00F31A5C" w:rsidRPr="00311689" w:rsidRDefault="00F31A5C" w:rsidP="00F31A5C">
            <w:pPr>
              <w:tabs>
                <w:tab w:val="left" w:pos="993"/>
              </w:tabs>
              <w:spacing w:after="160" w:line="259" w:lineRule="auto"/>
              <w:jc w:val="both"/>
              <w:rPr>
                <w:b/>
                <w:sz w:val="22"/>
                <w:szCs w:val="22"/>
              </w:rPr>
            </w:pPr>
            <w:r w:rsidRPr="00311689">
              <w:rPr>
                <w:b/>
                <w:sz w:val="22"/>
                <w:szCs w:val="22"/>
              </w:rPr>
              <w:t>Phụ lục 10</w:t>
            </w:r>
          </w:p>
          <w:p w14:paraId="2DCDC1F2" w14:textId="709DF2EE" w:rsidR="00F31A5C" w:rsidRPr="00311689" w:rsidRDefault="00F31A5C" w:rsidP="00F31A5C">
            <w:pPr>
              <w:spacing w:before="60" w:after="60"/>
              <w:ind w:right="-43"/>
              <w:rPr>
                <w:b/>
                <w:sz w:val="22"/>
                <w:szCs w:val="22"/>
              </w:rPr>
            </w:pPr>
            <w:r w:rsidRPr="00311689">
              <w:rPr>
                <w:b/>
                <w:bCs/>
                <w:sz w:val="22"/>
                <w:szCs w:val="22"/>
              </w:rPr>
              <w:t xml:space="preserve">Mục 8: </w:t>
            </w:r>
            <w:r w:rsidRPr="00311689">
              <w:rPr>
                <w:rStyle w:val="Heading3Char"/>
                <w:rFonts w:ascii="Times New Roman" w:hAnsi="Times New Roman" w:cs="Times New Roman"/>
                <w:iCs/>
                <w:sz w:val="22"/>
                <w:szCs w:val="22"/>
              </w:rPr>
              <w:t xml:space="preserve">Hỗ trợ </w:t>
            </w:r>
            <w:r w:rsidRPr="00311689">
              <w:rPr>
                <w:b/>
                <w:sz w:val="22"/>
                <w:szCs w:val="22"/>
              </w:rPr>
              <w:t>viên chức</w:t>
            </w:r>
            <w:r w:rsidRPr="00311689">
              <w:rPr>
                <w:sz w:val="22"/>
                <w:szCs w:val="22"/>
              </w:rPr>
              <w:t xml:space="preserve"> </w:t>
            </w:r>
            <w:r w:rsidRPr="00311689">
              <w:rPr>
                <w:rStyle w:val="Heading3Char"/>
                <w:rFonts w:ascii="Times New Roman" w:hAnsi="Times New Roman" w:cs="Times New Roman"/>
                <w:iCs/>
                <w:sz w:val="22"/>
                <w:szCs w:val="22"/>
              </w:rPr>
              <w:t>tham dự hội thảo quốc tế</w:t>
            </w:r>
            <w:r w:rsidRPr="00311689">
              <w:rPr>
                <w:b/>
                <w:sz w:val="22"/>
                <w:szCs w:val="22"/>
              </w:rPr>
              <w:t xml:space="preserve"> </w:t>
            </w:r>
          </w:p>
        </w:tc>
        <w:tc>
          <w:tcPr>
            <w:tcW w:w="4572" w:type="dxa"/>
          </w:tcPr>
          <w:p w14:paraId="767D824E" w14:textId="77777777" w:rsidR="00F31A5C" w:rsidRPr="00311689" w:rsidRDefault="00F31A5C" w:rsidP="00F31A5C">
            <w:pPr>
              <w:pStyle w:val="BodyTextIndent2"/>
              <w:spacing w:after="0" w:line="240" w:lineRule="auto"/>
              <w:ind w:left="0"/>
              <w:jc w:val="both"/>
              <w:rPr>
                <w:rStyle w:val="Heading3Char"/>
                <w:rFonts w:ascii="Times New Roman" w:hAnsi="Times New Roman" w:cs="Times New Roman"/>
                <w:iCs/>
                <w:sz w:val="22"/>
                <w:szCs w:val="22"/>
              </w:rPr>
            </w:pPr>
            <w:r w:rsidRPr="00311689">
              <w:rPr>
                <w:rStyle w:val="Heading3Char"/>
                <w:rFonts w:ascii="Times New Roman" w:hAnsi="Times New Roman" w:cs="Times New Roman"/>
                <w:iCs/>
                <w:sz w:val="22"/>
                <w:szCs w:val="22"/>
              </w:rPr>
              <w:t xml:space="preserve">Hỗ trợ </w:t>
            </w:r>
            <w:r w:rsidRPr="00311689">
              <w:rPr>
                <w:b/>
                <w:sz w:val="22"/>
                <w:szCs w:val="22"/>
              </w:rPr>
              <w:t>viên chức</w:t>
            </w:r>
            <w:r w:rsidRPr="00311689">
              <w:rPr>
                <w:sz w:val="22"/>
                <w:szCs w:val="22"/>
              </w:rPr>
              <w:t xml:space="preserve"> </w:t>
            </w:r>
            <w:r w:rsidRPr="00311689">
              <w:rPr>
                <w:rStyle w:val="Heading3Char"/>
                <w:rFonts w:ascii="Times New Roman" w:hAnsi="Times New Roman" w:cs="Times New Roman"/>
                <w:iCs/>
                <w:sz w:val="22"/>
                <w:szCs w:val="22"/>
              </w:rPr>
              <w:t>tham dự hội thảo quốc tế</w:t>
            </w:r>
          </w:p>
          <w:p w14:paraId="47FCCF44" w14:textId="77777777" w:rsidR="00F31A5C" w:rsidRPr="00311689" w:rsidRDefault="00F31A5C" w:rsidP="00F31A5C">
            <w:pPr>
              <w:rPr>
                <w:sz w:val="22"/>
                <w:szCs w:val="22"/>
              </w:rPr>
            </w:pPr>
            <w:r w:rsidRPr="00311689">
              <w:rPr>
                <w:sz w:val="22"/>
                <w:szCs w:val="22"/>
              </w:rPr>
              <w:t xml:space="preserve">    - UEH hỗ trợ viên chức tham dự hội thảo quốc tế căn cứ vào số giờ nghiên cứu khoa học thực tế năm trước, cụ thể mức hỗ trợ tối đa như sau:</w:t>
            </w:r>
            <w:r w:rsidRPr="00311689">
              <w:rPr>
                <w:sz w:val="22"/>
                <w:szCs w:val="22"/>
              </w:rPr>
              <w:br/>
              <w:t xml:space="preserve">        Từ 0-600 giờ: hỗ trợ </w:t>
            </w:r>
            <w:r w:rsidRPr="00311689">
              <w:rPr>
                <w:b/>
                <w:bCs/>
                <w:sz w:val="22"/>
                <w:szCs w:val="22"/>
              </w:rPr>
              <w:t>9.000.000 VND/</w:t>
            </w:r>
            <w:r w:rsidRPr="00311689">
              <w:rPr>
                <w:sz w:val="22"/>
                <w:szCs w:val="22"/>
              </w:rPr>
              <w:t>người/năm</w:t>
            </w:r>
            <w:r w:rsidRPr="00311689">
              <w:rPr>
                <w:sz w:val="22"/>
                <w:szCs w:val="22"/>
              </w:rPr>
              <w:br/>
              <w:t xml:space="preserve">        Từ 601-1500 giờ: hỗ trợ </w:t>
            </w:r>
            <w:r w:rsidRPr="00311689">
              <w:rPr>
                <w:b/>
                <w:bCs/>
                <w:sz w:val="22"/>
                <w:szCs w:val="22"/>
              </w:rPr>
              <w:t>14.000.000 VND</w:t>
            </w:r>
            <w:r w:rsidRPr="00311689">
              <w:rPr>
                <w:sz w:val="22"/>
                <w:szCs w:val="22"/>
              </w:rPr>
              <w:t>/người/năm</w:t>
            </w:r>
            <w:r w:rsidRPr="00311689">
              <w:rPr>
                <w:sz w:val="22"/>
                <w:szCs w:val="22"/>
              </w:rPr>
              <w:br/>
              <w:t xml:space="preserve">        Trên 1500 giờ: hỗ trợ </w:t>
            </w:r>
            <w:r w:rsidRPr="00311689">
              <w:rPr>
                <w:b/>
                <w:bCs/>
                <w:sz w:val="22"/>
                <w:szCs w:val="22"/>
              </w:rPr>
              <w:t>19.000.000 VND</w:t>
            </w:r>
            <w:r w:rsidRPr="00311689">
              <w:rPr>
                <w:sz w:val="22"/>
                <w:szCs w:val="22"/>
              </w:rPr>
              <w:t>/người/năm</w:t>
            </w:r>
          </w:p>
          <w:p w14:paraId="48A830F4" w14:textId="77777777" w:rsidR="00F31A5C" w:rsidRPr="00311689" w:rsidRDefault="00F31A5C" w:rsidP="00F31A5C">
            <w:pPr>
              <w:spacing w:before="60" w:after="60"/>
              <w:jc w:val="both"/>
              <w:rPr>
                <w:bCs/>
                <w:sz w:val="22"/>
                <w:szCs w:val="22"/>
                <w:lang w:eastAsia="x-none"/>
              </w:rPr>
            </w:pPr>
            <w:r w:rsidRPr="00311689">
              <w:rPr>
                <w:bCs/>
                <w:sz w:val="22"/>
                <w:szCs w:val="22"/>
                <w:lang w:eastAsia="x-none"/>
              </w:rPr>
              <w:t xml:space="preserve">    - Mức hỗ trợ này bao gồm phí đăng ký tham dự hội thảo, chi phí đi lại, thuê chỗ ở,.. các chi phí phát sinh theo chứng từ chi thực tế không vượt quá mức hỗ trợ tối đa và đáp ứng đủ các điều kiện:</w:t>
            </w:r>
          </w:p>
          <w:p w14:paraId="776AE4E4" w14:textId="77777777" w:rsidR="00F31A5C" w:rsidRPr="00311689" w:rsidRDefault="00F31A5C" w:rsidP="00F31A5C">
            <w:pPr>
              <w:shd w:val="clear" w:color="auto" w:fill="FFFFFF"/>
              <w:spacing w:before="60" w:after="60"/>
              <w:ind w:left="720"/>
              <w:jc w:val="both"/>
              <w:rPr>
                <w:bCs/>
                <w:sz w:val="22"/>
                <w:szCs w:val="22"/>
                <w:lang w:eastAsia="x-none"/>
              </w:rPr>
            </w:pPr>
            <w:r w:rsidRPr="00311689">
              <w:rPr>
                <w:bCs/>
                <w:sz w:val="22"/>
                <w:szCs w:val="22"/>
                <w:lang w:eastAsia="x-none"/>
              </w:rPr>
              <w:lastRenderedPageBreak/>
              <w:t>1. Bài hội thảo được Ban Tổ chức chấp nhận trình bày tại Hội thảo và có trong Chương trình Hội thảo.</w:t>
            </w:r>
          </w:p>
          <w:p w14:paraId="5ADC0061" w14:textId="77777777" w:rsidR="00F31A5C" w:rsidRPr="00311689" w:rsidRDefault="00F31A5C" w:rsidP="00F31A5C">
            <w:pPr>
              <w:spacing w:before="60" w:after="60"/>
              <w:ind w:left="720"/>
              <w:jc w:val="both"/>
              <w:rPr>
                <w:bCs/>
                <w:sz w:val="22"/>
                <w:szCs w:val="22"/>
                <w:lang w:eastAsia="x-none"/>
              </w:rPr>
            </w:pPr>
            <w:r w:rsidRPr="00311689">
              <w:rPr>
                <w:bCs/>
                <w:sz w:val="22"/>
                <w:szCs w:val="22"/>
                <w:lang w:eastAsia="x-none"/>
              </w:rPr>
              <w:t>2. Hội thảo được bảo trợ đăng bài trên các tạp chính danh tiếng thuộc danh mục ISI, Scopus.</w:t>
            </w:r>
          </w:p>
          <w:p w14:paraId="45076553" w14:textId="77777777" w:rsidR="00F31A5C" w:rsidRPr="00311689" w:rsidRDefault="00F31A5C" w:rsidP="00F31A5C">
            <w:pPr>
              <w:rPr>
                <w:sz w:val="22"/>
                <w:szCs w:val="22"/>
              </w:rPr>
            </w:pPr>
          </w:p>
          <w:p w14:paraId="28DBF192" w14:textId="47C7040F" w:rsidR="00F31A5C" w:rsidRPr="00311689" w:rsidRDefault="00F31A5C" w:rsidP="00F31A5C">
            <w:pPr>
              <w:shd w:val="clear" w:color="auto" w:fill="FFFFFF"/>
              <w:spacing w:before="60" w:after="60"/>
              <w:rPr>
                <w:sz w:val="22"/>
                <w:szCs w:val="22"/>
              </w:rPr>
            </w:pPr>
            <w:r w:rsidRPr="00311689">
              <w:rPr>
                <w:sz w:val="22"/>
                <w:szCs w:val="22"/>
              </w:rPr>
              <w:tab/>
            </w:r>
          </w:p>
        </w:tc>
        <w:tc>
          <w:tcPr>
            <w:tcW w:w="5508" w:type="dxa"/>
          </w:tcPr>
          <w:p w14:paraId="38F3844C" w14:textId="77777777" w:rsidR="00F31A5C" w:rsidRPr="00311689" w:rsidRDefault="00F31A5C" w:rsidP="00F31A5C">
            <w:pPr>
              <w:pStyle w:val="BodyTextIndent2"/>
              <w:spacing w:after="0" w:line="240" w:lineRule="auto"/>
              <w:ind w:left="0"/>
              <w:jc w:val="both"/>
              <w:rPr>
                <w:rStyle w:val="Heading3Char"/>
                <w:rFonts w:ascii="Times New Roman" w:hAnsi="Times New Roman" w:cs="Times New Roman"/>
                <w:iCs/>
                <w:sz w:val="22"/>
                <w:szCs w:val="22"/>
              </w:rPr>
            </w:pPr>
            <w:r w:rsidRPr="00311689">
              <w:rPr>
                <w:rStyle w:val="Heading3Char"/>
                <w:rFonts w:ascii="Times New Roman" w:hAnsi="Times New Roman" w:cs="Times New Roman"/>
                <w:iCs/>
                <w:sz w:val="22"/>
                <w:szCs w:val="22"/>
              </w:rPr>
              <w:lastRenderedPageBreak/>
              <w:t xml:space="preserve">Hỗ trợ </w:t>
            </w:r>
            <w:r w:rsidRPr="00311689">
              <w:rPr>
                <w:b/>
                <w:sz w:val="22"/>
                <w:szCs w:val="22"/>
              </w:rPr>
              <w:t>viên chức</w:t>
            </w:r>
            <w:r w:rsidRPr="00311689">
              <w:rPr>
                <w:sz w:val="22"/>
                <w:szCs w:val="22"/>
              </w:rPr>
              <w:t xml:space="preserve"> </w:t>
            </w:r>
            <w:r w:rsidRPr="00311689">
              <w:rPr>
                <w:rStyle w:val="Heading3Char"/>
                <w:rFonts w:ascii="Times New Roman" w:hAnsi="Times New Roman" w:cs="Times New Roman"/>
                <w:iCs/>
                <w:sz w:val="22"/>
                <w:szCs w:val="22"/>
              </w:rPr>
              <w:t>tham dự hội thảo quốc tế</w:t>
            </w:r>
          </w:p>
          <w:p w14:paraId="71273112" w14:textId="68868274" w:rsidR="00F31A5C" w:rsidRPr="00311689" w:rsidRDefault="00F31A5C" w:rsidP="00F31A5C">
            <w:pPr>
              <w:rPr>
                <w:sz w:val="22"/>
                <w:szCs w:val="22"/>
              </w:rPr>
            </w:pPr>
            <w:r w:rsidRPr="00311689">
              <w:rPr>
                <w:sz w:val="22"/>
                <w:szCs w:val="22"/>
              </w:rPr>
              <w:t xml:space="preserve">    - UEH hỗ trợ viên chức tham dự hội thảo quốc tế tối đa 25tr/năm</w:t>
            </w:r>
            <w:r w:rsidR="00583BC1">
              <w:rPr>
                <w:sz w:val="22"/>
                <w:szCs w:val="22"/>
              </w:rPr>
              <w:t>.</w:t>
            </w:r>
          </w:p>
          <w:p w14:paraId="07927B19" w14:textId="77777777" w:rsidR="00F31A5C" w:rsidRPr="00311689" w:rsidRDefault="00F31A5C" w:rsidP="00F31A5C">
            <w:pPr>
              <w:spacing w:before="60" w:after="60"/>
              <w:jc w:val="both"/>
              <w:rPr>
                <w:bCs/>
                <w:sz w:val="22"/>
                <w:szCs w:val="22"/>
                <w:lang w:eastAsia="x-none"/>
              </w:rPr>
            </w:pPr>
            <w:r w:rsidRPr="00311689">
              <w:rPr>
                <w:bCs/>
                <w:sz w:val="22"/>
                <w:szCs w:val="22"/>
                <w:lang w:eastAsia="x-none"/>
              </w:rPr>
              <w:t xml:space="preserve">    - Mức hỗ trợ này bao gồm phí đăng ký tham dự hội thảo, chi phí đi lại, thuê chỗ ở,.. các chi phí phát sinh theo chứng từ chi thực tế không vượt quá mức hỗ trợ tối đa và đáp ứng đủ các điều kiện:</w:t>
            </w:r>
          </w:p>
          <w:p w14:paraId="198935CB" w14:textId="49AE9561" w:rsidR="00F31A5C" w:rsidRPr="00311689" w:rsidRDefault="00583BC1" w:rsidP="00583BC1">
            <w:pPr>
              <w:shd w:val="clear" w:color="auto" w:fill="FFFFFF"/>
              <w:spacing w:before="60" w:after="60"/>
              <w:jc w:val="both"/>
              <w:rPr>
                <w:bCs/>
                <w:sz w:val="22"/>
                <w:szCs w:val="22"/>
                <w:lang w:eastAsia="x-none"/>
              </w:rPr>
            </w:pPr>
            <w:r>
              <w:rPr>
                <w:bCs/>
                <w:sz w:val="22"/>
                <w:szCs w:val="22"/>
                <w:lang w:eastAsia="x-none"/>
              </w:rPr>
              <w:t xml:space="preserve">   </w:t>
            </w:r>
            <w:r w:rsidR="00F31A5C" w:rsidRPr="00311689">
              <w:rPr>
                <w:bCs/>
                <w:sz w:val="22"/>
                <w:szCs w:val="22"/>
                <w:lang w:eastAsia="x-none"/>
              </w:rPr>
              <w:t>1. Bài hội thảo được Ban Tổ chức chấp nhận trình bày tại Hội thảo và có trong Chương trình Hội thảo.</w:t>
            </w:r>
          </w:p>
          <w:p w14:paraId="3FE159B4" w14:textId="2AB7AE74" w:rsidR="00F31A5C" w:rsidRDefault="00583BC1" w:rsidP="00583BC1">
            <w:pPr>
              <w:spacing w:before="60" w:after="60"/>
              <w:jc w:val="both"/>
              <w:rPr>
                <w:bCs/>
                <w:sz w:val="22"/>
                <w:szCs w:val="22"/>
                <w:lang w:eastAsia="x-none"/>
              </w:rPr>
            </w:pPr>
            <w:r>
              <w:rPr>
                <w:bCs/>
                <w:sz w:val="22"/>
                <w:szCs w:val="22"/>
                <w:lang w:eastAsia="x-none"/>
              </w:rPr>
              <w:t xml:space="preserve">   </w:t>
            </w:r>
            <w:r w:rsidR="00F31A5C" w:rsidRPr="00311689">
              <w:rPr>
                <w:bCs/>
                <w:sz w:val="22"/>
                <w:szCs w:val="22"/>
                <w:lang w:eastAsia="x-none"/>
              </w:rPr>
              <w:t>2. Hội thảo được bảo trợ đăng bài trên các tạp chính danh tiếng thuộc danh mục ISI, Scopus.</w:t>
            </w:r>
          </w:p>
          <w:p w14:paraId="433B27A1" w14:textId="77777777" w:rsidR="00F31A5C" w:rsidRPr="00311689" w:rsidRDefault="00F31A5C" w:rsidP="00F31A5C">
            <w:pPr>
              <w:pStyle w:val="BodyTextIndent2"/>
              <w:spacing w:after="0" w:line="240" w:lineRule="auto"/>
              <w:ind w:left="0"/>
              <w:jc w:val="both"/>
              <w:rPr>
                <w:rStyle w:val="Heading3Char"/>
                <w:rFonts w:ascii="Times New Roman" w:hAnsi="Times New Roman" w:cs="Times New Roman"/>
                <w:iCs/>
                <w:sz w:val="22"/>
                <w:szCs w:val="22"/>
              </w:rPr>
            </w:pPr>
            <w:r w:rsidRPr="00311689">
              <w:rPr>
                <w:rStyle w:val="Heading3Char"/>
                <w:rFonts w:ascii="Times New Roman" w:hAnsi="Times New Roman" w:cs="Times New Roman"/>
                <w:iCs/>
                <w:sz w:val="22"/>
                <w:szCs w:val="22"/>
              </w:rPr>
              <w:t xml:space="preserve">Hỗ trợ </w:t>
            </w:r>
            <w:r w:rsidRPr="00311689">
              <w:rPr>
                <w:b/>
                <w:sz w:val="22"/>
                <w:szCs w:val="22"/>
              </w:rPr>
              <w:t>viên chức</w:t>
            </w:r>
            <w:r w:rsidRPr="00311689">
              <w:rPr>
                <w:sz w:val="22"/>
                <w:szCs w:val="22"/>
              </w:rPr>
              <w:t xml:space="preserve"> </w:t>
            </w:r>
            <w:r w:rsidRPr="00311689">
              <w:rPr>
                <w:rStyle w:val="Heading3Char"/>
                <w:rFonts w:ascii="Times New Roman" w:hAnsi="Times New Roman" w:cs="Times New Roman"/>
                <w:iCs/>
                <w:sz w:val="22"/>
                <w:szCs w:val="22"/>
              </w:rPr>
              <w:t>tham dự hội thảo quốc gia (có thu phí)</w:t>
            </w:r>
          </w:p>
          <w:p w14:paraId="4F6C3224" w14:textId="77777777" w:rsidR="00F31A5C" w:rsidRPr="00311689" w:rsidRDefault="00F31A5C" w:rsidP="00F31A5C">
            <w:pPr>
              <w:pStyle w:val="BodyTextIndent2"/>
              <w:spacing w:after="0" w:line="240" w:lineRule="auto"/>
              <w:ind w:left="0"/>
              <w:jc w:val="both"/>
              <w:rPr>
                <w:sz w:val="22"/>
                <w:szCs w:val="22"/>
              </w:rPr>
            </w:pPr>
            <w:r w:rsidRPr="00311689">
              <w:rPr>
                <w:sz w:val="22"/>
                <w:szCs w:val="22"/>
                <w:lang w:val="en-US"/>
              </w:rPr>
              <w:t xml:space="preserve">- </w:t>
            </w:r>
            <w:r w:rsidRPr="00311689">
              <w:rPr>
                <w:sz w:val="22"/>
                <w:szCs w:val="22"/>
              </w:rPr>
              <w:t xml:space="preserve">UEH hỗ trợ viên chức tham dự hội thảo quốc </w:t>
            </w:r>
            <w:r w:rsidRPr="00311689">
              <w:rPr>
                <w:sz w:val="22"/>
                <w:szCs w:val="22"/>
                <w:lang w:val="en-US"/>
              </w:rPr>
              <w:t>gia</w:t>
            </w:r>
            <w:r w:rsidRPr="00311689">
              <w:rPr>
                <w:sz w:val="22"/>
                <w:szCs w:val="22"/>
              </w:rPr>
              <w:t xml:space="preserve"> tối đa </w:t>
            </w:r>
            <w:r w:rsidRPr="00311689">
              <w:rPr>
                <w:sz w:val="22"/>
                <w:szCs w:val="22"/>
                <w:lang w:val="en-US"/>
              </w:rPr>
              <w:t>9</w:t>
            </w:r>
            <w:r w:rsidRPr="00311689">
              <w:rPr>
                <w:sz w:val="22"/>
                <w:szCs w:val="22"/>
              </w:rPr>
              <w:t>tr/năm</w:t>
            </w:r>
          </w:p>
          <w:p w14:paraId="04CC6314" w14:textId="4CD38BF2" w:rsidR="00F31A5C" w:rsidRPr="00311689" w:rsidRDefault="00F31A5C" w:rsidP="00F31A5C">
            <w:pPr>
              <w:spacing w:before="60" w:after="60"/>
              <w:jc w:val="both"/>
              <w:rPr>
                <w:bCs/>
                <w:sz w:val="22"/>
                <w:szCs w:val="22"/>
                <w:lang w:eastAsia="x-none"/>
              </w:rPr>
            </w:pPr>
            <w:r w:rsidRPr="00311689">
              <w:rPr>
                <w:bCs/>
                <w:sz w:val="22"/>
                <w:szCs w:val="22"/>
                <w:lang w:eastAsia="x-none"/>
              </w:rPr>
              <w:lastRenderedPageBreak/>
              <w:t>- Mức hỗ trợ này bao gồm phí đăng ký tham dự hội thảo, chi phí đi lại, thuê chỗ ở,.. các chi phí phát sinh theo chứng từ chi thực tế không vượt quá mức hỗ trợ tối đa và đáp ứng đủ các điều kiện</w:t>
            </w:r>
            <w:r w:rsidRPr="00311689">
              <w:rPr>
                <w:bCs/>
                <w:sz w:val="22"/>
                <w:szCs w:val="22"/>
              </w:rPr>
              <w:t xml:space="preserve">: </w:t>
            </w:r>
            <w:r w:rsidRPr="00311689">
              <w:rPr>
                <w:bCs/>
                <w:sz w:val="22"/>
                <w:szCs w:val="22"/>
                <w:lang w:eastAsia="x-none"/>
              </w:rPr>
              <w:t>Bài hội thảo được Ban Tổ chức chấp nhận trình bày tại Hội thảo và có trong Chương trình Hội thảo</w:t>
            </w:r>
            <w:r w:rsidR="008065DC">
              <w:rPr>
                <w:bCs/>
                <w:sz w:val="22"/>
                <w:szCs w:val="22"/>
                <w:lang w:eastAsia="x-none"/>
              </w:rPr>
              <w:t>.</w:t>
            </w:r>
          </w:p>
          <w:p w14:paraId="2777B5DE" w14:textId="77777777" w:rsidR="008065DC" w:rsidRPr="00E0115F" w:rsidRDefault="008065DC" w:rsidP="008065DC">
            <w:r w:rsidRPr="00E0115F">
              <w:rPr>
                <w:i/>
                <w:iCs/>
                <w:u w:val="single"/>
              </w:rPr>
              <w:t>Hội nghị, hội thảo quốc tế</w:t>
            </w:r>
          </w:p>
          <w:p w14:paraId="3688BA79" w14:textId="77777777" w:rsidR="008065DC" w:rsidRPr="00E0115F" w:rsidRDefault="008065DC" w:rsidP="008065DC">
            <w:pPr>
              <w:spacing w:before="60" w:after="60"/>
              <w:rPr>
                <w:bCs/>
                <w:sz w:val="22"/>
                <w:szCs w:val="22"/>
                <w:lang w:eastAsia="x-none"/>
              </w:rPr>
            </w:pPr>
            <w:r w:rsidRPr="00E0115F">
              <w:rPr>
                <w:bCs/>
                <w:sz w:val="22"/>
                <w:szCs w:val="22"/>
                <w:lang w:eastAsia="x-none"/>
              </w:rPr>
              <w:t>Hội nghị, hội thảo quốc tế là hội nghị, hội thảo có yếu tố nước ngoài, thỏa 5 điều kiện sau đây:</w:t>
            </w:r>
            <w:r w:rsidRPr="00E0115F">
              <w:rPr>
                <w:bCs/>
                <w:sz w:val="22"/>
                <w:szCs w:val="22"/>
                <w:lang w:eastAsia="x-none"/>
              </w:rPr>
              <w:br/>
              <w:t>(1) Tổ chức theo hình thức gặp gỡ trực tiếp  hoặc trực tuyến (online) hoặc kết hợp;</w:t>
            </w:r>
            <w:r w:rsidRPr="00E0115F">
              <w:rPr>
                <w:bCs/>
                <w:sz w:val="22"/>
                <w:szCs w:val="22"/>
                <w:lang w:eastAsia="x-none"/>
              </w:rPr>
              <w:br/>
              <w:t>(2) Có ít nhất 2 diễn giả chính (keynote speaker) là người nước ngoài;</w:t>
            </w:r>
            <w:r w:rsidRPr="00E0115F">
              <w:rPr>
                <w:bCs/>
                <w:sz w:val="22"/>
                <w:szCs w:val="22"/>
                <w:lang w:eastAsia="x-none"/>
              </w:rPr>
              <w:br/>
              <w:t>(3) Có Ban chủ tọa quốc tế (International Panel Chair);</w:t>
            </w:r>
            <w:r w:rsidRPr="00E0115F">
              <w:rPr>
                <w:bCs/>
                <w:sz w:val="22"/>
                <w:szCs w:val="22"/>
                <w:lang w:eastAsia="x-none"/>
              </w:rPr>
              <w:br/>
              <w:t>(4) Công bố kết quả nghiên cứu thông qua kỷ yếu có ISBN;</w:t>
            </w:r>
            <w:r w:rsidRPr="00E0115F">
              <w:rPr>
                <w:bCs/>
                <w:sz w:val="22"/>
                <w:szCs w:val="22"/>
                <w:lang w:eastAsia="x-none"/>
              </w:rPr>
              <w:br/>
              <w:t>(5) Có tạp chí ISI/Scopus/ABDC hỗ trợ đăng báo quốc tế;</w:t>
            </w:r>
          </w:p>
          <w:p w14:paraId="36668FF8" w14:textId="77777777" w:rsidR="008065DC" w:rsidRPr="00E0115F" w:rsidRDefault="008065DC" w:rsidP="008065DC">
            <w:r w:rsidRPr="00E0115F">
              <w:rPr>
                <w:i/>
                <w:iCs/>
                <w:u w:val="single"/>
              </w:rPr>
              <w:t>Hội nghị hội thảo quốc gia</w:t>
            </w:r>
          </w:p>
          <w:p w14:paraId="71698AA4" w14:textId="17ADF909" w:rsidR="00F31A5C" w:rsidRPr="00311689" w:rsidRDefault="008065DC" w:rsidP="008065DC">
            <w:pPr>
              <w:tabs>
                <w:tab w:val="left" w:pos="1473"/>
              </w:tabs>
              <w:spacing w:before="60" w:after="60"/>
              <w:rPr>
                <w:sz w:val="22"/>
                <w:szCs w:val="22"/>
              </w:rPr>
            </w:pPr>
            <w:r w:rsidRPr="00E0115F">
              <w:rPr>
                <w:bCs/>
                <w:sz w:val="22"/>
                <w:szCs w:val="22"/>
                <w:lang w:eastAsia="x-none"/>
              </w:rPr>
              <w:t>Hội nghị, hội thảo quốc gia là hội nghị, hội thảo trong công tác tổ chức có sự phối hợp hoặc tham gia của Bộ, Ban /ngành cấp Trung ương.</w:t>
            </w:r>
          </w:p>
        </w:tc>
      </w:tr>
    </w:tbl>
    <w:p w14:paraId="0A0991B8" w14:textId="77777777" w:rsidR="0001177A" w:rsidRPr="00311689" w:rsidRDefault="0001177A" w:rsidP="0001177A"/>
    <w:p w14:paraId="2C27EADB" w14:textId="77777777" w:rsidR="0001177A" w:rsidRPr="00BB08B8" w:rsidRDefault="0001177A" w:rsidP="0001177A"/>
    <w:p w14:paraId="12699114" w14:textId="77777777" w:rsidR="0001177A" w:rsidRPr="00BB08B8" w:rsidRDefault="0001177A" w:rsidP="0001177A"/>
    <w:p w14:paraId="76EF649C" w14:textId="77777777" w:rsidR="0001177A" w:rsidRPr="00BB08B8" w:rsidRDefault="0001177A" w:rsidP="0001177A"/>
    <w:p w14:paraId="58F3A54A" w14:textId="77777777" w:rsidR="0001177A" w:rsidRPr="00BB08B8" w:rsidRDefault="0001177A" w:rsidP="0001177A"/>
    <w:p w14:paraId="1618E206" w14:textId="77777777" w:rsidR="0001177A" w:rsidRPr="00BB08B8" w:rsidRDefault="0001177A" w:rsidP="0001177A"/>
    <w:p w14:paraId="53A3C75C" w14:textId="77777777" w:rsidR="0001177A" w:rsidRPr="00BB08B8" w:rsidRDefault="0001177A" w:rsidP="0001177A"/>
    <w:p w14:paraId="4D2403B1" w14:textId="77777777" w:rsidR="0001177A" w:rsidRPr="00BB08B8" w:rsidRDefault="0001177A" w:rsidP="0001177A"/>
    <w:p w14:paraId="79AE6D05" w14:textId="77777777" w:rsidR="0001177A" w:rsidRPr="00BB08B8" w:rsidRDefault="0001177A" w:rsidP="0001177A"/>
    <w:p w14:paraId="33996336" w14:textId="77777777" w:rsidR="0001177A" w:rsidRPr="00BB08B8" w:rsidRDefault="0001177A" w:rsidP="0001177A"/>
    <w:p w14:paraId="1E7FD4FA" w14:textId="77777777" w:rsidR="0001177A" w:rsidRPr="00BB08B8" w:rsidRDefault="0001177A" w:rsidP="0001177A"/>
    <w:sectPr w:rsidR="0001177A" w:rsidRPr="00BB08B8" w:rsidSect="00337855">
      <w:pgSz w:w="16840" w:h="11907" w:orient="landscape" w:code="9"/>
      <w:pgMar w:top="284" w:right="720" w:bottom="426" w:left="720" w:header="63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F49BD" w14:textId="77777777" w:rsidR="00140288" w:rsidRDefault="00140288">
      <w:r>
        <w:separator/>
      </w:r>
    </w:p>
  </w:endnote>
  <w:endnote w:type="continuationSeparator" w:id="0">
    <w:p w14:paraId="20BAF730" w14:textId="77777777" w:rsidR="00140288" w:rsidRDefault="0014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E151F" w14:textId="77777777" w:rsidR="00140288" w:rsidRDefault="00140288">
      <w:r>
        <w:separator/>
      </w:r>
    </w:p>
  </w:footnote>
  <w:footnote w:type="continuationSeparator" w:id="0">
    <w:p w14:paraId="18039790" w14:textId="77777777" w:rsidR="00140288" w:rsidRDefault="00140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A313A"/>
    <w:multiLevelType w:val="hybridMultilevel"/>
    <w:tmpl w:val="81C27A78"/>
    <w:lvl w:ilvl="0" w:tplc="1770A63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0E49D9"/>
    <w:multiLevelType w:val="hybridMultilevel"/>
    <w:tmpl w:val="A344EA20"/>
    <w:lvl w:ilvl="0" w:tplc="04090001">
      <w:start w:val="74"/>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3D9D7830"/>
    <w:multiLevelType w:val="hybridMultilevel"/>
    <w:tmpl w:val="14CAE1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7C5290"/>
    <w:multiLevelType w:val="hybridMultilevel"/>
    <w:tmpl w:val="68A2A2CC"/>
    <w:lvl w:ilvl="0" w:tplc="2790232A">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58B84342"/>
    <w:multiLevelType w:val="hybridMultilevel"/>
    <w:tmpl w:val="14CAE1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DB4"/>
    <w:rsid w:val="0001177A"/>
    <w:rsid w:val="00060D59"/>
    <w:rsid w:val="000C1692"/>
    <w:rsid w:val="000C3471"/>
    <w:rsid w:val="000D6D5E"/>
    <w:rsid w:val="00140288"/>
    <w:rsid w:val="00147D9C"/>
    <w:rsid w:val="00157CDB"/>
    <w:rsid w:val="001B1184"/>
    <w:rsid w:val="001C0C14"/>
    <w:rsid w:val="00201B5F"/>
    <w:rsid w:val="002536E3"/>
    <w:rsid w:val="00260679"/>
    <w:rsid w:val="002863F1"/>
    <w:rsid w:val="00287A9B"/>
    <w:rsid w:val="00294F15"/>
    <w:rsid w:val="002A1460"/>
    <w:rsid w:val="002B5A8A"/>
    <w:rsid w:val="002E0C24"/>
    <w:rsid w:val="002E4E09"/>
    <w:rsid w:val="003101FA"/>
    <w:rsid w:val="00311689"/>
    <w:rsid w:val="003367EE"/>
    <w:rsid w:val="00337855"/>
    <w:rsid w:val="00394B2F"/>
    <w:rsid w:val="003A664F"/>
    <w:rsid w:val="003C6D1E"/>
    <w:rsid w:val="00427292"/>
    <w:rsid w:val="004545C1"/>
    <w:rsid w:val="005338CA"/>
    <w:rsid w:val="00563D3B"/>
    <w:rsid w:val="005812C6"/>
    <w:rsid w:val="00583BC1"/>
    <w:rsid w:val="005B6B76"/>
    <w:rsid w:val="006079AC"/>
    <w:rsid w:val="00610465"/>
    <w:rsid w:val="00622A32"/>
    <w:rsid w:val="006320C6"/>
    <w:rsid w:val="00691E16"/>
    <w:rsid w:val="006A2FDC"/>
    <w:rsid w:val="006B4265"/>
    <w:rsid w:val="006B5A53"/>
    <w:rsid w:val="006C621A"/>
    <w:rsid w:val="006F071C"/>
    <w:rsid w:val="007032A1"/>
    <w:rsid w:val="00713F51"/>
    <w:rsid w:val="007346C5"/>
    <w:rsid w:val="00754779"/>
    <w:rsid w:val="0077191B"/>
    <w:rsid w:val="00774767"/>
    <w:rsid w:val="007A1B12"/>
    <w:rsid w:val="007E778E"/>
    <w:rsid w:val="008065DC"/>
    <w:rsid w:val="00806DFB"/>
    <w:rsid w:val="00817386"/>
    <w:rsid w:val="0088393F"/>
    <w:rsid w:val="00915379"/>
    <w:rsid w:val="00923BD9"/>
    <w:rsid w:val="009712D0"/>
    <w:rsid w:val="009E4278"/>
    <w:rsid w:val="009F4B8F"/>
    <w:rsid w:val="00A0097D"/>
    <w:rsid w:val="00A13F11"/>
    <w:rsid w:val="00A31D9B"/>
    <w:rsid w:val="00A5566B"/>
    <w:rsid w:val="00A75982"/>
    <w:rsid w:val="00A869D2"/>
    <w:rsid w:val="00AE4DB6"/>
    <w:rsid w:val="00AF504B"/>
    <w:rsid w:val="00B24E2D"/>
    <w:rsid w:val="00B26123"/>
    <w:rsid w:val="00BA0EFA"/>
    <w:rsid w:val="00BA79AF"/>
    <w:rsid w:val="00BB08B8"/>
    <w:rsid w:val="00C0315F"/>
    <w:rsid w:val="00C2204F"/>
    <w:rsid w:val="00C528AB"/>
    <w:rsid w:val="00C64B2A"/>
    <w:rsid w:val="00C81262"/>
    <w:rsid w:val="00CA2A3F"/>
    <w:rsid w:val="00D25CBF"/>
    <w:rsid w:val="00D74023"/>
    <w:rsid w:val="00D95FAC"/>
    <w:rsid w:val="00DB3A9B"/>
    <w:rsid w:val="00DB5DB4"/>
    <w:rsid w:val="00DD54B2"/>
    <w:rsid w:val="00DE7456"/>
    <w:rsid w:val="00E02E63"/>
    <w:rsid w:val="00E11811"/>
    <w:rsid w:val="00E27A08"/>
    <w:rsid w:val="00E348E3"/>
    <w:rsid w:val="00E5363B"/>
    <w:rsid w:val="00E91C60"/>
    <w:rsid w:val="00E94B35"/>
    <w:rsid w:val="00E97E65"/>
    <w:rsid w:val="00EA2284"/>
    <w:rsid w:val="00EA5189"/>
    <w:rsid w:val="00EB218F"/>
    <w:rsid w:val="00EE4116"/>
    <w:rsid w:val="00F312E8"/>
    <w:rsid w:val="00F31A5C"/>
    <w:rsid w:val="00F36A1D"/>
    <w:rsid w:val="00F478AA"/>
    <w:rsid w:val="00F53FEC"/>
    <w:rsid w:val="00F56D25"/>
    <w:rsid w:val="00F57896"/>
    <w:rsid w:val="00F61E91"/>
    <w:rsid w:val="00F90B87"/>
    <w:rsid w:val="00FA012B"/>
    <w:rsid w:val="00FA106E"/>
    <w:rsid w:val="00FA3237"/>
    <w:rsid w:val="00FB6A3F"/>
    <w:rsid w:val="00FC6E80"/>
    <w:rsid w:val="00FE2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1967D"/>
  <w15:chartTrackingRefBased/>
  <w15:docId w15:val="{7A1AC259-970D-4D19-A670-EFBA694D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DB4"/>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DB3A9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B5DB4"/>
    <w:pPr>
      <w:tabs>
        <w:tab w:val="center" w:pos="4320"/>
        <w:tab w:val="right" w:pos="8640"/>
      </w:tabs>
    </w:pPr>
  </w:style>
  <w:style w:type="character" w:customStyle="1" w:styleId="FooterChar">
    <w:name w:val="Footer Char"/>
    <w:basedOn w:val="DefaultParagraphFont"/>
    <w:link w:val="Footer"/>
    <w:uiPriority w:val="99"/>
    <w:rsid w:val="00DB5DB4"/>
    <w:rPr>
      <w:rFonts w:ascii="Times New Roman" w:eastAsia="Times New Roman" w:hAnsi="Times New Roman" w:cs="Times New Roman"/>
      <w:sz w:val="24"/>
      <w:szCs w:val="24"/>
      <w:lang w:val="en-US"/>
    </w:rPr>
  </w:style>
  <w:style w:type="table" w:styleId="TableGrid">
    <w:name w:val="Table Grid"/>
    <w:basedOn w:val="TableNormal"/>
    <w:uiPriority w:val="59"/>
    <w:rsid w:val="00DB5DB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5DB4"/>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01177A"/>
    <w:rPr>
      <w:sz w:val="20"/>
      <w:szCs w:val="20"/>
    </w:rPr>
  </w:style>
  <w:style w:type="character" w:customStyle="1" w:styleId="FootnoteTextChar">
    <w:name w:val="Footnote Text Char"/>
    <w:basedOn w:val="DefaultParagraphFont"/>
    <w:link w:val="FootnoteText"/>
    <w:rsid w:val="0001177A"/>
    <w:rPr>
      <w:rFonts w:ascii="Times New Roman" w:eastAsia="Times New Roman" w:hAnsi="Times New Roman" w:cs="Times New Roman"/>
      <w:sz w:val="20"/>
      <w:szCs w:val="20"/>
      <w:lang w:val="en-US"/>
    </w:rPr>
  </w:style>
  <w:style w:type="character" w:styleId="FootnoteReference">
    <w:name w:val="footnote reference"/>
    <w:rsid w:val="0001177A"/>
    <w:rPr>
      <w:vertAlign w:val="superscript"/>
    </w:rPr>
  </w:style>
  <w:style w:type="paragraph" w:styleId="BalloonText">
    <w:name w:val="Balloon Text"/>
    <w:basedOn w:val="Normal"/>
    <w:link w:val="BalloonTextChar"/>
    <w:uiPriority w:val="99"/>
    <w:semiHidden/>
    <w:unhideWhenUsed/>
    <w:rsid w:val="00E118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811"/>
    <w:rPr>
      <w:rFonts w:ascii="Segoe UI" w:eastAsia="Times New Roman" w:hAnsi="Segoe UI" w:cs="Segoe UI"/>
      <w:sz w:val="18"/>
      <w:szCs w:val="18"/>
      <w:lang w:val="en-US"/>
    </w:rPr>
  </w:style>
  <w:style w:type="character" w:customStyle="1" w:styleId="Heading3Char">
    <w:name w:val="Heading 3 Char"/>
    <w:basedOn w:val="DefaultParagraphFont"/>
    <w:link w:val="Heading3"/>
    <w:rsid w:val="00DB3A9B"/>
    <w:rPr>
      <w:rFonts w:ascii="Arial" w:eastAsia="Times New Roman" w:hAnsi="Arial" w:cs="Arial"/>
      <w:b/>
      <w:bCs/>
      <w:sz w:val="26"/>
      <w:szCs w:val="26"/>
      <w:lang w:val="en-US"/>
    </w:rPr>
  </w:style>
  <w:style w:type="paragraph" w:styleId="BodyTextIndent2">
    <w:name w:val="Body Text Indent 2"/>
    <w:basedOn w:val="Normal"/>
    <w:link w:val="BodyTextIndent2Char"/>
    <w:rsid w:val="00DB3A9B"/>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DB3A9B"/>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Trần Thị Huyền Thu</cp:lastModifiedBy>
  <cp:revision>48</cp:revision>
  <dcterms:created xsi:type="dcterms:W3CDTF">2020-12-15T04:48:00Z</dcterms:created>
  <dcterms:modified xsi:type="dcterms:W3CDTF">2021-12-22T01:34:00Z</dcterms:modified>
</cp:coreProperties>
</file>