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48" w:rsidRPr="00754EAF" w:rsidRDefault="00BB2548" w:rsidP="00BB2548">
      <w:pPr>
        <w:jc w:val="center"/>
        <w:rPr>
          <w:b/>
          <w:sz w:val="28"/>
          <w:szCs w:val="22"/>
          <w:lang w:val="pl-PL"/>
        </w:rPr>
      </w:pPr>
      <w:r w:rsidRPr="00754EAF">
        <w:rPr>
          <w:b/>
          <w:sz w:val="28"/>
          <w:szCs w:val="22"/>
          <w:lang w:val="pl-PL"/>
        </w:rPr>
        <w:t>BẢNG TÓM TẮT QUYỀN LỢI BẢO HIỂM</w:t>
      </w:r>
    </w:p>
    <w:p w:rsidR="00BB2548" w:rsidRPr="009819D0" w:rsidRDefault="00BB2548" w:rsidP="00BB2548">
      <w:pPr>
        <w:jc w:val="right"/>
        <w:rPr>
          <w:bCs/>
          <w:i/>
          <w:iCs/>
          <w:sz w:val="22"/>
          <w:szCs w:val="22"/>
          <w:lang w:val="pt-BR"/>
        </w:rPr>
      </w:pPr>
      <w:r w:rsidRPr="009819D0">
        <w:rPr>
          <w:bCs/>
          <w:i/>
          <w:iCs/>
          <w:sz w:val="22"/>
          <w:szCs w:val="22"/>
          <w:lang w:val="pt-BR"/>
        </w:rPr>
        <w:t xml:space="preserve">Đơn vị: Việt Nam Đồng </w:t>
      </w:r>
    </w:p>
    <w:tbl>
      <w:tblPr>
        <w:tblW w:w="9952" w:type="dxa"/>
        <w:tblInd w:w="-34" w:type="dxa"/>
        <w:tblLook w:val="04A0" w:firstRow="1" w:lastRow="0" w:firstColumn="1" w:lastColumn="0" w:noHBand="0" w:noVBand="1"/>
      </w:tblPr>
      <w:tblGrid>
        <w:gridCol w:w="851"/>
        <w:gridCol w:w="5515"/>
        <w:gridCol w:w="1793"/>
        <w:gridCol w:w="1793"/>
      </w:tblGrid>
      <w:tr w:rsidR="00B11BE6" w:rsidRPr="009819D0" w:rsidTr="00B11BE6">
        <w:trPr>
          <w:trHeight w:val="7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B11BE6" w:rsidRPr="009819D0" w:rsidRDefault="00B11BE6" w:rsidP="001F4810">
            <w:pPr>
              <w:jc w:val="center"/>
              <w:rPr>
                <w:b/>
                <w:bCs/>
              </w:rPr>
            </w:pPr>
            <w:proofErr w:type="spellStart"/>
            <w:r w:rsidRPr="009819D0">
              <w:rPr>
                <w:b/>
                <w:bCs/>
                <w:sz w:val="22"/>
                <w:szCs w:val="22"/>
              </w:rPr>
              <w:t>Quyền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lợi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BE6" w:rsidRPr="009819D0" w:rsidRDefault="00B11BE6" w:rsidP="001F4810">
            <w:pPr>
              <w:rPr>
                <w:b/>
                <w:bCs/>
              </w:rPr>
            </w:pPr>
            <w:proofErr w:type="spellStart"/>
            <w:r w:rsidRPr="009819D0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kiện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bảo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hiểm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BE6" w:rsidRPr="009819D0" w:rsidRDefault="00B11BE6" w:rsidP="001F4810">
            <w:pPr>
              <w:jc w:val="center"/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>LỰA CHỌN 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11BE6" w:rsidRPr="009819D0" w:rsidRDefault="00443137" w:rsidP="001F48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LỰA CHỌN 2</w:t>
            </w:r>
          </w:p>
        </w:tc>
      </w:tr>
      <w:tr w:rsidR="00BB2548" w:rsidRPr="009819D0" w:rsidTr="00B11BE6">
        <w:trPr>
          <w:trHeight w:val="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48" w:rsidRPr="009819D0" w:rsidRDefault="00BB254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48" w:rsidRPr="009819D0" w:rsidRDefault="00BB2548" w:rsidP="001F4810">
            <w:pPr>
              <w:rPr>
                <w:b/>
                <w:bCs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48" w:rsidRPr="009819D0" w:rsidRDefault="00BB2548" w:rsidP="001F4810">
            <w:pPr>
              <w:jc w:val="center"/>
              <w:rPr>
                <w:b/>
                <w:bCs/>
              </w:rPr>
            </w:pPr>
          </w:p>
        </w:tc>
      </w:tr>
      <w:tr w:rsidR="00B11BE6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BE6" w:rsidRPr="009819D0" w:rsidRDefault="00B11BE6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BE6" w:rsidRPr="009819D0" w:rsidRDefault="00B11BE6" w:rsidP="001F4810">
            <w:pPr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trị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nội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trú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ngoại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trú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do tai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nạn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BE6" w:rsidRPr="009819D0" w:rsidRDefault="00B11BE6" w:rsidP="001F4810">
            <w:pPr>
              <w:jc w:val="center"/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>25.000.000/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BE6" w:rsidRPr="009819D0" w:rsidRDefault="00443137" w:rsidP="001F48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40.000.000/</w:t>
            </w:r>
            <w:proofErr w:type="spellStart"/>
            <w:r>
              <w:rPr>
                <w:b/>
                <w:bCs/>
                <w:sz w:val="22"/>
                <w:szCs w:val="22"/>
              </w:rPr>
              <w:t>năm</w:t>
            </w:r>
            <w:proofErr w:type="spellEnd"/>
          </w:p>
        </w:tc>
      </w:tr>
      <w:tr w:rsidR="00BB2548" w:rsidRPr="009819D0" w:rsidTr="00B11BE6">
        <w:trPr>
          <w:trHeight w:val="8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48" w:rsidRPr="009819D0" w:rsidRDefault="00BB254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48" w:rsidRPr="009819D0" w:rsidRDefault="00BB2548" w:rsidP="001F4810">
            <w:pPr>
              <w:rPr>
                <w:i/>
                <w:iCs/>
              </w:rPr>
            </w:pPr>
            <w:r w:rsidRPr="009819D0">
              <w:rPr>
                <w:i/>
                <w:iCs/>
                <w:sz w:val="22"/>
                <w:szCs w:val="22"/>
              </w:rPr>
              <w:t xml:space="preserve">Chi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phí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cấp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cứu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/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xe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cứu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thương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, chi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phí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phẫu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thuật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và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nằm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viện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, chi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phí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thuốc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men .v.v..,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theo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hạn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mức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chi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phí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Người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được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bảo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hiểm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chọn</w:t>
            </w:r>
            <w:proofErr w:type="spellEnd"/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48" w:rsidRPr="009819D0" w:rsidRDefault="00BB2548" w:rsidP="001F4810">
            <w:pPr>
              <w:jc w:val="center"/>
            </w:pPr>
            <w:proofErr w:type="spellStart"/>
            <w:r w:rsidRPr="009819D0">
              <w:rPr>
                <w:sz w:val="22"/>
                <w:szCs w:val="22"/>
              </w:rPr>
              <w:t>Tối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đa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đến</w:t>
            </w:r>
            <w:proofErr w:type="spellEnd"/>
            <w:r w:rsidRPr="009819D0">
              <w:rPr>
                <w:sz w:val="22"/>
                <w:szCs w:val="22"/>
              </w:rPr>
              <w:t xml:space="preserve"> STBH</w:t>
            </w:r>
          </w:p>
        </w:tc>
      </w:tr>
      <w:tr w:rsidR="00BB2548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0F63E4">
            <w:pPr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Chết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tật</w:t>
            </w:r>
            <w:proofErr w:type="spellEnd"/>
            <w:r w:rsidR="000F63E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F63E4">
              <w:rPr>
                <w:b/>
                <w:bCs/>
                <w:sz w:val="22"/>
                <w:szCs w:val="22"/>
              </w:rPr>
              <w:t>vĩnh</w:t>
            </w:r>
            <w:proofErr w:type="spellEnd"/>
            <w:r w:rsidR="000F63E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F63E4">
              <w:rPr>
                <w:b/>
                <w:bCs/>
                <w:sz w:val="22"/>
                <w:szCs w:val="22"/>
              </w:rPr>
              <w:t>viễn</w:t>
            </w:r>
            <w:proofErr w:type="spellEnd"/>
            <w:r w:rsidR="000F63E4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="000F63E4">
              <w:rPr>
                <w:b/>
                <w:bCs/>
                <w:sz w:val="22"/>
                <w:szCs w:val="22"/>
              </w:rPr>
              <w:t>ốm</w:t>
            </w:r>
            <w:proofErr w:type="spellEnd"/>
            <w:r w:rsidR="000F63E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F63E4">
              <w:rPr>
                <w:b/>
                <w:bCs/>
                <w:sz w:val="22"/>
                <w:szCs w:val="22"/>
              </w:rPr>
              <w:t>đau</w:t>
            </w:r>
            <w:proofErr w:type="spellEnd"/>
            <w:r w:rsidR="000F63E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0F63E4">
              <w:rPr>
                <w:b/>
                <w:bCs/>
                <w:sz w:val="22"/>
                <w:szCs w:val="22"/>
              </w:rPr>
              <w:t>bệnh</w:t>
            </w:r>
            <w:proofErr w:type="spellEnd"/>
            <w:r w:rsidR="000F63E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F63E4">
              <w:rPr>
                <w:b/>
                <w:bCs/>
                <w:sz w:val="22"/>
                <w:szCs w:val="22"/>
              </w:rPr>
              <w:t>tật</w:t>
            </w:r>
            <w:proofErr w:type="spellEnd"/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jc w:val="center"/>
              <w:rPr>
                <w:b/>
                <w:bCs/>
              </w:rPr>
            </w:pPr>
            <w:proofErr w:type="spellStart"/>
            <w:r w:rsidRPr="009819D0">
              <w:rPr>
                <w:b/>
                <w:bCs/>
                <w:sz w:val="22"/>
                <w:szCs w:val="22"/>
              </w:rPr>
              <w:t>Không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tham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gia</w:t>
            </w:r>
            <w:proofErr w:type="spellEnd"/>
          </w:p>
        </w:tc>
      </w:tr>
      <w:tr w:rsidR="00BB2548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rPr>
                <w:b/>
                <w:bCs/>
              </w:rPr>
            </w:pPr>
            <w:proofErr w:type="spellStart"/>
            <w:r w:rsidRPr="009819D0">
              <w:rPr>
                <w:i/>
                <w:iCs/>
                <w:sz w:val="22"/>
                <w:szCs w:val="22"/>
              </w:rPr>
              <w:t>Chết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thương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tật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toàn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bộ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vĩnh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viễn</w:t>
            </w:r>
            <w:proofErr w:type="spellEnd"/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jc w:val="center"/>
              <w:rPr>
                <w:b/>
                <w:bCs/>
              </w:rPr>
            </w:pPr>
            <w:r w:rsidRPr="009819D0">
              <w:rPr>
                <w:i/>
                <w:iCs/>
                <w:sz w:val="22"/>
                <w:szCs w:val="22"/>
              </w:rPr>
              <w:t>100% STBH</w:t>
            </w:r>
          </w:p>
        </w:tc>
      </w:tr>
      <w:tr w:rsidR="00BB2548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rPr>
                <w:b/>
                <w:bCs/>
              </w:rPr>
            </w:pPr>
            <w:proofErr w:type="spellStart"/>
            <w:r w:rsidRPr="009819D0">
              <w:rPr>
                <w:i/>
                <w:iCs/>
                <w:sz w:val="22"/>
                <w:szCs w:val="22"/>
              </w:rPr>
              <w:t>Thương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tật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bộ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phận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vĩnh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viễn</w:t>
            </w:r>
            <w:proofErr w:type="spellEnd"/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jc w:val="center"/>
              <w:rPr>
                <w:b/>
                <w:bCs/>
              </w:rPr>
            </w:pPr>
            <w:r w:rsidRPr="009819D0">
              <w:rPr>
                <w:i/>
                <w:iCs/>
                <w:sz w:val="22"/>
                <w:szCs w:val="22"/>
              </w:rPr>
              <w:t xml:space="preserve">Theo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Phụ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lục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Bảng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tỉ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lệ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thương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tật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/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tàn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tật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vĩnh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viễn</w:t>
            </w:r>
            <w:proofErr w:type="spellEnd"/>
          </w:p>
        </w:tc>
      </w:tr>
      <w:tr w:rsidR="00B11BE6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BE6" w:rsidRPr="009819D0" w:rsidRDefault="00B11BE6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BE6" w:rsidRPr="009819D0" w:rsidRDefault="00B11BE6" w:rsidP="001F4810">
            <w:pPr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Chết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tật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vĩnh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viễn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do tai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nạn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BE6" w:rsidRPr="009819D0" w:rsidRDefault="00B11BE6" w:rsidP="001F4810">
            <w:pPr>
              <w:jc w:val="center"/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>100.000.000/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BE6" w:rsidRPr="009819D0" w:rsidRDefault="00443137" w:rsidP="001F48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250.000.000/</w:t>
            </w:r>
            <w:proofErr w:type="spellStart"/>
            <w:r>
              <w:rPr>
                <w:b/>
                <w:bCs/>
                <w:sz w:val="22"/>
                <w:szCs w:val="22"/>
              </w:rPr>
              <w:t>năm</w:t>
            </w:r>
            <w:proofErr w:type="spellEnd"/>
          </w:p>
        </w:tc>
      </w:tr>
      <w:tr w:rsidR="00BB2548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rPr>
                <w:b/>
                <w:bCs/>
              </w:rPr>
            </w:pPr>
            <w:proofErr w:type="spellStart"/>
            <w:r w:rsidRPr="009819D0">
              <w:rPr>
                <w:i/>
                <w:iCs/>
                <w:sz w:val="22"/>
                <w:szCs w:val="22"/>
              </w:rPr>
              <w:t>Chết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thương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tật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toàn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bộ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vĩnh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viễn</w:t>
            </w:r>
            <w:proofErr w:type="spellEnd"/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jc w:val="center"/>
            </w:pPr>
            <w:r w:rsidRPr="009819D0">
              <w:rPr>
                <w:i/>
                <w:iCs/>
                <w:sz w:val="22"/>
                <w:szCs w:val="22"/>
              </w:rPr>
              <w:t>100% STBH</w:t>
            </w:r>
          </w:p>
        </w:tc>
      </w:tr>
      <w:tr w:rsidR="00BB2548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rPr>
                <w:i/>
                <w:iCs/>
              </w:rPr>
            </w:pPr>
            <w:proofErr w:type="spellStart"/>
            <w:r w:rsidRPr="009819D0">
              <w:rPr>
                <w:i/>
                <w:iCs/>
                <w:sz w:val="22"/>
                <w:szCs w:val="22"/>
              </w:rPr>
              <w:t>Thương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tật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bộ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phận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vĩnh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viễn</w:t>
            </w:r>
            <w:proofErr w:type="spellEnd"/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48" w:rsidRPr="009819D0" w:rsidRDefault="00BB2548" w:rsidP="001F4810">
            <w:pPr>
              <w:jc w:val="center"/>
            </w:pPr>
            <w:r w:rsidRPr="009819D0">
              <w:rPr>
                <w:i/>
                <w:iCs/>
                <w:sz w:val="22"/>
                <w:szCs w:val="22"/>
              </w:rPr>
              <w:t xml:space="preserve">Theo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Phụ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lục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Bảng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tỉ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lệ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thương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tật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/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tàn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tật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vĩnh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viễn</w:t>
            </w:r>
            <w:proofErr w:type="spellEnd"/>
          </w:p>
        </w:tc>
      </w:tr>
      <w:tr w:rsidR="00B11BE6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BE6" w:rsidRPr="009819D0" w:rsidRDefault="00B11BE6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BE6" w:rsidRPr="009819D0" w:rsidRDefault="00B11BE6" w:rsidP="001F4810">
            <w:pPr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trị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nội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trú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ốm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đau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bệnh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tật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BE6" w:rsidRPr="009819D0" w:rsidRDefault="00B11BE6" w:rsidP="001F4810">
            <w:pPr>
              <w:jc w:val="center"/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>165.000.000/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BE6" w:rsidRPr="009819D0" w:rsidRDefault="00443137" w:rsidP="001F48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126.000.000/</w:t>
            </w:r>
            <w:proofErr w:type="spellStart"/>
            <w:r>
              <w:rPr>
                <w:b/>
                <w:bCs/>
                <w:sz w:val="22"/>
                <w:szCs w:val="22"/>
              </w:rPr>
              <w:t>năm</w:t>
            </w:r>
            <w:proofErr w:type="spellEnd"/>
          </w:p>
        </w:tc>
      </w:tr>
      <w:tr w:rsidR="00E67408" w:rsidRPr="009819D0" w:rsidTr="00B11BE6">
        <w:trPr>
          <w:trHeight w:val="15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r w:rsidRPr="009819D0">
              <w:rPr>
                <w:b/>
                <w:bCs/>
                <w:sz w:val="22"/>
                <w:szCs w:val="22"/>
              </w:rPr>
              <w:t xml:space="preserve">a.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Nằm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viện</w:t>
            </w:r>
            <w:proofErr w:type="spellEnd"/>
            <w:r w:rsidRPr="009819D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9819D0">
              <w:rPr>
                <w:sz w:val="22"/>
                <w:szCs w:val="22"/>
              </w:rPr>
              <w:t>Tiền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phòng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phòng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chăm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sóc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đặc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biệt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phòng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cấp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cứu</w:t>
            </w:r>
            <w:proofErr w:type="spellEnd"/>
            <w:r w:rsidRPr="009819D0">
              <w:rPr>
                <w:sz w:val="22"/>
                <w:szCs w:val="22"/>
              </w:rPr>
              <w:br/>
              <w:t xml:space="preserve">- Chi </w:t>
            </w:r>
            <w:proofErr w:type="spellStart"/>
            <w:r w:rsidRPr="009819D0">
              <w:rPr>
                <w:sz w:val="22"/>
                <w:szCs w:val="22"/>
              </w:rPr>
              <w:t>phí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bệnh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viện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tổng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hợp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gồm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xét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nghiệm</w:t>
            </w:r>
            <w:proofErr w:type="spellEnd"/>
            <w:r w:rsidRPr="009819D0">
              <w:rPr>
                <w:sz w:val="22"/>
                <w:szCs w:val="22"/>
              </w:rPr>
              <w:t xml:space="preserve">, XQ. </w:t>
            </w:r>
            <w:proofErr w:type="spellStart"/>
            <w:r w:rsidRPr="009819D0">
              <w:rPr>
                <w:sz w:val="22"/>
                <w:szCs w:val="22"/>
              </w:rPr>
              <w:t>Thuốc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quần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áo</w:t>
            </w:r>
            <w:proofErr w:type="spellEnd"/>
            <w:r w:rsidRPr="009819D0">
              <w:rPr>
                <w:sz w:val="22"/>
                <w:szCs w:val="22"/>
              </w:rPr>
              <w:t xml:space="preserve">, ô </w:t>
            </w:r>
            <w:proofErr w:type="spellStart"/>
            <w:r w:rsidRPr="009819D0">
              <w:rPr>
                <w:sz w:val="22"/>
                <w:szCs w:val="22"/>
              </w:rPr>
              <w:t>xy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huyết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thanh</w:t>
            </w:r>
            <w:proofErr w:type="spellEnd"/>
            <w:r w:rsidRPr="009819D0">
              <w:rPr>
                <w:sz w:val="22"/>
                <w:szCs w:val="22"/>
              </w:rPr>
              <w:t>…</w:t>
            </w:r>
            <w:r w:rsidRPr="009819D0">
              <w:rPr>
                <w:sz w:val="22"/>
                <w:szCs w:val="22"/>
              </w:rPr>
              <w:br/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Áp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dụng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cho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cả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chi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phí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điều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trị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trong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ngày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Default="00E67408" w:rsidP="001F4810">
            <w:pPr>
              <w:jc w:val="center"/>
            </w:pPr>
            <w:r w:rsidRPr="009819D0">
              <w:rPr>
                <w:sz w:val="22"/>
                <w:szCs w:val="22"/>
              </w:rPr>
              <w:t>2.750.000/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</w:p>
          <w:p w:rsidR="00E67408" w:rsidRPr="009819D0" w:rsidRDefault="00E67408" w:rsidP="001F4810">
            <w:pPr>
              <w:jc w:val="center"/>
            </w:pPr>
            <w:proofErr w:type="spellStart"/>
            <w:r w:rsidRPr="009819D0">
              <w:rPr>
                <w:sz w:val="22"/>
                <w:szCs w:val="22"/>
              </w:rPr>
              <w:t>Tối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đa</w:t>
            </w:r>
            <w:proofErr w:type="spellEnd"/>
            <w:r w:rsidRPr="009819D0">
              <w:rPr>
                <w:sz w:val="22"/>
                <w:szCs w:val="22"/>
              </w:rPr>
              <w:br/>
            </w:r>
            <w:r w:rsidRPr="009819D0">
              <w:rPr>
                <w:b/>
                <w:bCs/>
                <w:sz w:val="22"/>
                <w:szCs w:val="22"/>
              </w:rPr>
              <w:t>55.000.000/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Default="00E67408" w:rsidP="006B18C7">
            <w:pPr>
              <w:jc w:val="center"/>
            </w:pPr>
            <w:r w:rsidRPr="00DF204D">
              <w:rPr>
                <w:sz w:val="22"/>
                <w:szCs w:val="22"/>
              </w:rPr>
              <w:t>2.100.000/</w:t>
            </w:r>
            <w:proofErr w:type="spellStart"/>
            <w:r w:rsidRPr="00DF204D">
              <w:rPr>
                <w:sz w:val="22"/>
                <w:szCs w:val="22"/>
              </w:rPr>
              <w:t>ngày</w:t>
            </w:r>
            <w:proofErr w:type="spellEnd"/>
          </w:p>
          <w:p w:rsidR="00E67408" w:rsidRPr="00DF204D" w:rsidRDefault="00E67408" w:rsidP="006B18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Tối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đa</w:t>
            </w:r>
            <w:proofErr w:type="spellEnd"/>
            <w:r w:rsidRPr="00DF204D">
              <w:rPr>
                <w:sz w:val="22"/>
                <w:szCs w:val="22"/>
              </w:rPr>
              <w:br/>
            </w:r>
            <w:r w:rsidRPr="00DF204D">
              <w:rPr>
                <w:b/>
                <w:bCs/>
                <w:sz w:val="22"/>
                <w:szCs w:val="22"/>
              </w:rPr>
              <w:t>42.000.000/</w:t>
            </w:r>
            <w:proofErr w:type="spellStart"/>
            <w:r w:rsidRPr="00DF204D">
              <w:rPr>
                <w:b/>
                <w:bCs/>
                <w:sz w:val="22"/>
                <w:szCs w:val="22"/>
              </w:rPr>
              <w:t>năm</w:t>
            </w:r>
            <w:proofErr w:type="spellEnd"/>
          </w:p>
        </w:tc>
      </w:tr>
      <w:tr w:rsidR="00E67408" w:rsidRPr="009819D0" w:rsidTr="00B11BE6">
        <w:trPr>
          <w:trHeight w:val="1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 xml:space="preserve">b.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Phẫu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thuật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br/>
            </w:r>
            <w:r w:rsidRPr="009819D0">
              <w:rPr>
                <w:sz w:val="22"/>
                <w:szCs w:val="22"/>
              </w:rPr>
              <w:t xml:space="preserve">- </w:t>
            </w:r>
            <w:proofErr w:type="spellStart"/>
            <w:r w:rsidRPr="009819D0">
              <w:rPr>
                <w:sz w:val="22"/>
                <w:szCs w:val="22"/>
              </w:rPr>
              <w:t>Ốm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bệnh</w:t>
            </w:r>
            <w:proofErr w:type="spellEnd"/>
            <w:r w:rsidRPr="009819D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9819D0">
              <w:rPr>
                <w:sz w:val="22"/>
                <w:szCs w:val="22"/>
              </w:rPr>
              <w:t>Cấy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ghép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nội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tạng</w:t>
            </w:r>
            <w:proofErr w:type="spellEnd"/>
            <w:r w:rsidRPr="009819D0">
              <w:rPr>
                <w:sz w:val="22"/>
                <w:szCs w:val="22"/>
              </w:rPr>
              <w:br/>
            </w:r>
            <w:r w:rsidRPr="009819D0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bao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gồm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cả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phẫu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thuật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trong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ngày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tiểu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i/>
                <w:iCs/>
                <w:sz w:val="22"/>
                <w:szCs w:val="22"/>
              </w:rPr>
              <w:t>phẫu</w:t>
            </w:r>
            <w:proofErr w:type="spellEnd"/>
            <w:r w:rsidRPr="009819D0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>55.000.000/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DF204D" w:rsidRDefault="00E67408" w:rsidP="006B18C7">
            <w:pPr>
              <w:jc w:val="center"/>
              <w:rPr>
                <w:b/>
                <w:bCs/>
              </w:rPr>
            </w:pPr>
            <w:r w:rsidRPr="00DF204D">
              <w:rPr>
                <w:b/>
                <w:bCs/>
                <w:sz w:val="22"/>
                <w:szCs w:val="22"/>
              </w:rPr>
              <w:t>VND 42,000,000</w:t>
            </w:r>
          </w:p>
        </w:tc>
      </w:tr>
      <w:tr w:rsidR="00E67408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 xml:space="preserve">c.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quyền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lợi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  <w:rPr>
                <w:b/>
                <w:bCs/>
              </w:rPr>
            </w:pPr>
          </w:p>
        </w:tc>
      </w:tr>
      <w:tr w:rsidR="00E67408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r w:rsidRPr="009819D0">
              <w:rPr>
                <w:sz w:val="22"/>
                <w:szCs w:val="22"/>
              </w:rPr>
              <w:t xml:space="preserve">Chi </w:t>
            </w:r>
            <w:proofErr w:type="spellStart"/>
            <w:r w:rsidRPr="009819D0">
              <w:rPr>
                <w:sz w:val="22"/>
                <w:szCs w:val="22"/>
              </w:rPr>
              <w:t>phí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trước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nhập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viện</w:t>
            </w:r>
            <w:proofErr w:type="spellEnd"/>
            <w:r w:rsidRPr="009819D0">
              <w:rPr>
                <w:sz w:val="22"/>
                <w:szCs w:val="22"/>
              </w:rPr>
              <w:t xml:space="preserve"> (30 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trước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nhập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viện</w:t>
            </w:r>
            <w:proofErr w:type="spellEnd"/>
            <w:r w:rsidRPr="009819D0">
              <w:rPr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</w:pPr>
            <w:r w:rsidRPr="009819D0">
              <w:rPr>
                <w:sz w:val="22"/>
                <w:szCs w:val="22"/>
              </w:rPr>
              <w:t>2.750.000/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DF204D" w:rsidRDefault="00E67408" w:rsidP="006B18C7">
            <w:pPr>
              <w:jc w:val="center"/>
            </w:pPr>
            <w:r w:rsidRPr="00DF204D">
              <w:rPr>
                <w:sz w:val="22"/>
                <w:szCs w:val="22"/>
              </w:rPr>
              <w:t>2.100.000/</w:t>
            </w:r>
            <w:proofErr w:type="spellStart"/>
            <w:r w:rsidRPr="00DF204D">
              <w:rPr>
                <w:sz w:val="22"/>
                <w:szCs w:val="22"/>
              </w:rPr>
              <w:t>năm</w:t>
            </w:r>
            <w:proofErr w:type="spellEnd"/>
          </w:p>
        </w:tc>
      </w:tr>
      <w:tr w:rsidR="00E67408" w:rsidRPr="009819D0" w:rsidTr="00B11BE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r w:rsidRPr="009819D0">
              <w:rPr>
                <w:sz w:val="22"/>
                <w:szCs w:val="22"/>
              </w:rPr>
              <w:t xml:space="preserve">Chi </w:t>
            </w:r>
            <w:proofErr w:type="spellStart"/>
            <w:r w:rsidRPr="009819D0">
              <w:rPr>
                <w:sz w:val="22"/>
                <w:szCs w:val="22"/>
              </w:rPr>
              <w:t>phí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điều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trị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sau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xuất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viện</w:t>
            </w:r>
            <w:proofErr w:type="spellEnd"/>
            <w:r w:rsidRPr="009819D0">
              <w:rPr>
                <w:sz w:val="22"/>
                <w:szCs w:val="22"/>
              </w:rPr>
              <w:t xml:space="preserve"> (30 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sau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xuất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viện</w:t>
            </w:r>
            <w:proofErr w:type="spellEnd"/>
            <w:r w:rsidRPr="009819D0">
              <w:rPr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</w:pPr>
            <w:r w:rsidRPr="009819D0">
              <w:rPr>
                <w:sz w:val="22"/>
                <w:szCs w:val="22"/>
              </w:rPr>
              <w:t>2.750.000/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DF204D" w:rsidRDefault="00E67408" w:rsidP="006B18C7">
            <w:pPr>
              <w:jc w:val="center"/>
            </w:pPr>
            <w:r w:rsidRPr="00DF204D">
              <w:rPr>
                <w:sz w:val="22"/>
                <w:szCs w:val="22"/>
              </w:rPr>
              <w:t>2.100.000/</w:t>
            </w:r>
            <w:proofErr w:type="spellStart"/>
            <w:r w:rsidRPr="00DF204D">
              <w:rPr>
                <w:sz w:val="22"/>
                <w:szCs w:val="22"/>
              </w:rPr>
              <w:t>năm</w:t>
            </w:r>
            <w:proofErr w:type="spellEnd"/>
          </w:p>
        </w:tc>
      </w:tr>
      <w:tr w:rsidR="00E67408" w:rsidRPr="009819D0" w:rsidTr="00B11BE6">
        <w:trPr>
          <w:trHeight w:val="8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r w:rsidRPr="009819D0">
              <w:rPr>
                <w:sz w:val="22"/>
                <w:szCs w:val="22"/>
              </w:rPr>
              <w:t xml:space="preserve">Chi </w:t>
            </w:r>
            <w:proofErr w:type="spellStart"/>
            <w:r w:rsidRPr="009819D0">
              <w:rPr>
                <w:sz w:val="22"/>
                <w:szCs w:val="22"/>
              </w:rPr>
              <w:t>phí</w:t>
            </w:r>
            <w:proofErr w:type="spellEnd"/>
            <w:r w:rsidRPr="009819D0">
              <w:rPr>
                <w:sz w:val="22"/>
                <w:szCs w:val="22"/>
              </w:rPr>
              <w:t xml:space="preserve"> y </w:t>
            </w:r>
            <w:proofErr w:type="spellStart"/>
            <w:r w:rsidRPr="009819D0">
              <w:rPr>
                <w:sz w:val="22"/>
                <w:szCs w:val="22"/>
              </w:rPr>
              <w:t>tá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chăm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sóc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tại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nhà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ngay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sau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xuất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viện</w:t>
            </w:r>
            <w:proofErr w:type="spellEnd"/>
            <w:r w:rsidRPr="009819D0">
              <w:rPr>
                <w:sz w:val="22"/>
                <w:szCs w:val="22"/>
              </w:rPr>
              <w:t xml:space="preserve"> (15 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  <w:r w:rsidRPr="009819D0">
              <w:rPr>
                <w:sz w:val="22"/>
                <w:szCs w:val="22"/>
              </w:rPr>
              <w:t>/</w:t>
            </w:r>
            <w:proofErr w:type="spellStart"/>
            <w:r w:rsidRPr="009819D0">
              <w:rPr>
                <w:sz w:val="22"/>
                <w:szCs w:val="22"/>
              </w:rPr>
              <w:t>năm</w:t>
            </w:r>
            <w:proofErr w:type="spellEnd"/>
            <w:r w:rsidRPr="009819D0">
              <w:rPr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</w:pPr>
            <w:r w:rsidRPr="009819D0">
              <w:rPr>
                <w:sz w:val="22"/>
                <w:szCs w:val="22"/>
              </w:rPr>
              <w:t>2.750.000/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DF204D" w:rsidRDefault="00E67408" w:rsidP="006B18C7">
            <w:pPr>
              <w:jc w:val="center"/>
            </w:pPr>
            <w:r w:rsidRPr="00DF204D">
              <w:rPr>
                <w:sz w:val="22"/>
                <w:szCs w:val="22"/>
              </w:rPr>
              <w:t>2.100.000/</w:t>
            </w:r>
            <w:proofErr w:type="spellStart"/>
            <w:r w:rsidRPr="00DF204D">
              <w:rPr>
                <w:sz w:val="22"/>
                <w:szCs w:val="22"/>
              </w:rPr>
              <w:t>năm</w:t>
            </w:r>
            <w:proofErr w:type="spellEnd"/>
          </w:p>
        </w:tc>
      </w:tr>
      <w:tr w:rsidR="00E67408" w:rsidRPr="009819D0" w:rsidTr="00911BB7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roofErr w:type="spellStart"/>
            <w:r w:rsidRPr="009819D0">
              <w:rPr>
                <w:sz w:val="22"/>
                <w:szCs w:val="22"/>
              </w:rPr>
              <w:t>Trợ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cấp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nằm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viện</w:t>
            </w:r>
            <w:proofErr w:type="spellEnd"/>
            <w:r w:rsidRPr="009819D0">
              <w:rPr>
                <w:sz w:val="22"/>
                <w:szCs w:val="22"/>
              </w:rPr>
              <w:t xml:space="preserve"> (60 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  <w:r w:rsidRPr="009819D0">
              <w:rPr>
                <w:sz w:val="22"/>
                <w:szCs w:val="22"/>
              </w:rPr>
              <w:t>/</w:t>
            </w:r>
            <w:proofErr w:type="spellStart"/>
            <w:r w:rsidRPr="009819D0">
              <w:rPr>
                <w:sz w:val="22"/>
                <w:szCs w:val="22"/>
              </w:rPr>
              <w:t>năm</w:t>
            </w:r>
            <w:proofErr w:type="spellEnd"/>
            <w:r w:rsidRPr="009819D0">
              <w:rPr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</w:pPr>
            <w:r w:rsidRPr="009819D0">
              <w:rPr>
                <w:sz w:val="22"/>
                <w:szCs w:val="22"/>
              </w:rPr>
              <w:t>100.000/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DF204D" w:rsidRDefault="00E67408" w:rsidP="006B18C7">
            <w:pPr>
              <w:jc w:val="center"/>
            </w:pPr>
            <w:r w:rsidRPr="00DF204D">
              <w:rPr>
                <w:sz w:val="22"/>
                <w:szCs w:val="22"/>
              </w:rPr>
              <w:t>42.000/</w:t>
            </w:r>
            <w:proofErr w:type="spellStart"/>
            <w:r w:rsidRPr="00DF204D">
              <w:rPr>
                <w:sz w:val="22"/>
                <w:szCs w:val="22"/>
              </w:rPr>
              <w:t>ngày</w:t>
            </w:r>
            <w:proofErr w:type="spellEnd"/>
          </w:p>
        </w:tc>
      </w:tr>
      <w:tr w:rsidR="00E67408" w:rsidRPr="009819D0" w:rsidTr="005D2526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roofErr w:type="spellStart"/>
            <w:r w:rsidRPr="009819D0">
              <w:rPr>
                <w:sz w:val="22"/>
                <w:szCs w:val="22"/>
              </w:rPr>
              <w:t>Phục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hồi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chức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năng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</w:pPr>
            <w:r w:rsidRPr="009819D0">
              <w:rPr>
                <w:sz w:val="22"/>
                <w:szCs w:val="22"/>
              </w:rPr>
              <w:t>5.500.000/</w:t>
            </w:r>
            <w:proofErr w:type="spellStart"/>
            <w:r w:rsidRPr="009819D0">
              <w:rPr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DF204D" w:rsidRDefault="00E67408" w:rsidP="006B18C7">
            <w:pPr>
              <w:jc w:val="center"/>
            </w:pPr>
            <w:r w:rsidRPr="00DF204D">
              <w:rPr>
                <w:sz w:val="22"/>
                <w:szCs w:val="22"/>
              </w:rPr>
              <w:t>4.200.000/</w:t>
            </w:r>
            <w:proofErr w:type="spellStart"/>
            <w:r w:rsidRPr="00DF204D">
              <w:rPr>
                <w:sz w:val="22"/>
                <w:szCs w:val="22"/>
              </w:rPr>
              <w:t>năm</w:t>
            </w:r>
            <w:proofErr w:type="spellEnd"/>
          </w:p>
        </w:tc>
      </w:tr>
      <w:tr w:rsidR="00E67408" w:rsidRPr="009819D0" w:rsidTr="0075392A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roofErr w:type="spellStart"/>
            <w:r w:rsidRPr="009819D0">
              <w:rPr>
                <w:sz w:val="22"/>
                <w:szCs w:val="22"/>
              </w:rPr>
              <w:t>Dịch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vụ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xe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cứu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thương</w:t>
            </w:r>
            <w:proofErr w:type="spellEnd"/>
            <w:r w:rsidRPr="009819D0">
              <w:rPr>
                <w:sz w:val="22"/>
                <w:szCs w:val="22"/>
              </w:rPr>
              <w:t xml:space="preserve"> (</w:t>
            </w:r>
            <w:proofErr w:type="spellStart"/>
            <w:r w:rsidRPr="009819D0">
              <w:rPr>
                <w:sz w:val="22"/>
                <w:szCs w:val="22"/>
              </w:rPr>
              <w:t>loại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trừ</w:t>
            </w:r>
            <w:proofErr w:type="spellEnd"/>
            <w:r w:rsidRPr="009819D0">
              <w:rPr>
                <w:sz w:val="22"/>
                <w:szCs w:val="22"/>
              </w:rPr>
              <w:t xml:space="preserve"> SOS </w:t>
            </w:r>
            <w:proofErr w:type="spellStart"/>
            <w:r w:rsidRPr="009819D0">
              <w:rPr>
                <w:sz w:val="22"/>
                <w:szCs w:val="22"/>
              </w:rPr>
              <w:t>và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đường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hàng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không</w:t>
            </w:r>
            <w:proofErr w:type="spellEnd"/>
            <w:r w:rsidRPr="009819D0">
              <w:rPr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</w:pPr>
            <w:r w:rsidRPr="009819D0">
              <w:rPr>
                <w:sz w:val="22"/>
                <w:szCs w:val="22"/>
              </w:rPr>
              <w:t>55.000.000/</w:t>
            </w:r>
            <w:proofErr w:type="spellStart"/>
            <w:r w:rsidRPr="009819D0">
              <w:rPr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DF204D" w:rsidRDefault="00E67408" w:rsidP="006B18C7">
            <w:pPr>
              <w:jc w:val="center"/>
            </w:pPr>
            <w:r w:rsidRPr="00DF204D">
              <w:rPr>
                <w:sz w:val="22"/>
                <w:szCs w:val="22"/>
              </w:rPr>
              <w:t>42.000.000/</w:t>
            </w:r>
            <w:proofErr w:type="spellStart"/>
            <w:r w:rsidRPr="00DF204D">
              <w:rPr>
                <w:sz w:val="22"/>
                <w:szCs w:val="22"/>
              </w:rPr>
              <w:t>năm</w:t>
            </w:r>
            <w:proofErr w:type="spellEnd"/>
          </w:p>
        </w:tc>
      </w:tr>
      <w:tr w:rsidR="00E67408" w:rsidRPr="009819D0" w:rsidTr="00D3653C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r w:rsidRPr="009819D0">
              <w:rPr>
                <w:sz w:val="22"/>
                <w:szCs w:val="22"/>
              </w:rPr>
              <w:t xml:space="preserve">Chi </w:t>
            </w:r>
            <w:proofErr w:type="spellStart"/>
            <w:r w:rsidRPr="009819D0">
              <w:rPr>
                <w:sz w:val="22"/>
                <w:szCs w:val="22"/>
              </w:rPr>
              <w:t>phí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mai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táng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</w:pPr>
            <w:r w:rsidRPr="009819D0">
              <w:rPr>
                <w:sz w:val="22"/>
                <w:szCs w:val="22"/>
              </w:rPr>
              <w:t>2.100.000/</w:t>
            </w:r>
            <w:proofErr w:type="spellStart"/>
            <w:r w:rsidRPr="009819D0">
              <w:rPr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DF204D" w:rsidRDefault="00E67408" w:rsidP="00E67408">
            <w:pPr>
              <w:jc w:val="center"/>
            </w:pPr>
            <w:r w:rsidRPr="00DF204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DF204D">
              <w:rPr>
                <w:sz w:val="22"/>
                <w:szCs w:val="22"/>
              </w:rPr>
              <w:t>00.000/</w:t>
            </w:r>
            <w:proofErr w:type="spellStart"/>
            <w:r w:rsidRPr="00DF204D">
              <w:rPr>
                <w:sz w:val="22"/>
                <w:szCs w:val="22"/>
              </w:rPr>
              <w:t>vụ</w:t>
            </w:r>
            <w:proofErr w:type="spellEnd"/>
          </w:p>
        </w:tc>
      </w:tr>
      <w:tr w:rsidR="00E67408" w:rsidRPr="009819D0" w:rsidTr="00B11BE6">
        <w:trPr>
          <w:trHeight w:val="43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67408" w:rsidRPr="009819D0" w:rsidRDefault="00E67408" w:rsidP="001F4810">
            <w:pPr>
              <w:jc w:val="center"/>
              <w:rPr>
                <w:b/>
                <w:bCs/>
              </w:rPr>
            </w:pPr>
            <w:proofErr w:type="spellStart"/>
            <w:r w:rsidRPr="009819D0">
              <w:rPr>
                <w:b/>
                <w:bCs/>
                <w:sz w:val="22"/>
                <w:szCs w:val="22"/>
              </w:rPr>
              <w:lastRenderedPageBreak/>
              <w:t>Quyền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lợi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bổ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sung</w:t>
            </w:r>
          </w:p>
        </w:tc>
        <w:tc>
          <w:tcPr>
            <w:tcW w:w="9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  <w:rPr>
                <w:b/>
                <w:bCs/>
              </w:rPr>
            </w:pPr>
            <w:proofErr w:type="spellStart"/>
            <w:r w:rsidRPr="009819D0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kiện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bảo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hiểm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bổ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sung</w:t>
            </w:r>
          </w:p>
        </w:tc>
      </w:tr>
      <w:tr w:rsidR="00E67408" w:rsidRPr="009819D0" w:rsidTr="006569DD">
        <w:trPr>
          <w:trHeight w:val="4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  <w:r w:rsidRPr="009819D0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trị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ngoại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trú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ốm</w:t>
            </w:r>
            <w:proofErr w:type="spellEnd"/>
            <w:r w:rsidRPr="009819D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b/>
                <w:bCs/>
                <w:sz w:val="22"/>
                <w:szCs w:val="22"/>
              </w:rPr>
              <w:t>bệnh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E674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3.000.</w:t>
            </w:r>
            <w:r w:rsidRPr="009819D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9819D0" w:rsidRDefault="00E67408" w:rsidP="001F48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8.000.000</w:t>
            </w:r>
          </w:p>
        </w:tc>
      </w:tr>
      <w:tr w:rsidR="00E67408" w:rsidRPr="009819D0" w:rsidTr="00B94394">
        <w:trPr>
          <w:trHeight w:val="8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754EAF">
            <w:pPr>
              <w:spacing w:line="276" w:lineRule="auto"/>
            </w:pPr>
            <w:r w:rsidRPr="009819D0">
              <w:rPr>
                <w:sz w:val="22"/>
                <w:szCs w:val="22"/>
              </w:rPr>
              <w:t xml:space="preserve">Chi </w:t>
            </w:r>
            <w:proofErr w:type="spellStart"/>
            <w:r w:rsidRPr="009819D0">
              <w:rPr>
                <w:sz w:val="22"/>
                <w:szCs w:val="22"/>
              </w:rPr>
              <w:t>phí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khám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bệnh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tiền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thuốc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theo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kê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đơn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của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bác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sỹ</w:t>
            </w:r>
            <w:proofErr w:type="spellEnd"/>
            <w:r w:rsidRPr="009819D0">
              <w:rPr>
                <w:sz w:val="22"/>
                <w:szCs w:val="22"/>
              </w:rPr>
              <w:t xml:space="preserve">, chi </w:t>
            </w:r>
            <w:proofErr w:type="spellStart"/>
            <w:r w:rsidRPr="009819D0">
              <w:rPr>
                <w:sz w:val="22"/>
                <w:szCs w:val="22"/>
              </w:rPr>
              <w:t>phí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cho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các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xét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nghiệm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chụp</w:t>
            </w:r>
            <w:proofErr w:type="spellEnd"/>
            <w:r w:rsidRPr="009819D0">
              <w:rPr>
                <w:sz w:val="22"/>
                <w:szCs w:val="22"/>
              </w:rPr>
              <w:t xml:space="preserve"> X-</w:t>
            </w:r>
            <w:proofErr w:type="spellStart"/>
            <w:r w:rsidRPr="009819D0">
              <w:rPr>
                <w:sz w:val="22"/>
                <w:szCs w:val="22"/>
              </w:rPr>
              <w:t>quang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siêu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âm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chẩn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đoán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hình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ảnh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trong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việc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điều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trị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bệnh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thuộc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phạm</w:t>
            </w:r>
            <w:proofErr w:type="spellEnd"/>
            <w:r w:rsidRPr="009819D0">
              <w:rPr>
                <w:sz w:val="22"/>
                <w:szCs w:val="22"/>
              </w:rPr>
              <w:t xml:space="preserve"> vi </w:t>
            </w:r>
            <w:proofErr w:type="spellStart"/>
            <w:r w:rsidRPr="009819D0">
              <w:rPr>
                <w:sz w:val="22"/>
                <w:szCs w:val="22"/>
              </w:rPr>
              <w:t>bảo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hiểm</w:t>
            </w:r>
            <w:proofErr w:type="spellEnd"/>
            <w:r w:rsidRPr="009819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</w:pPr>
            <w:r w:rsidRPr="009819D0">
              <w:rPr>
                <w:sz w:val="22"/>
                <w:szCs w:val="22"/>
              </w:rPr>
              <w:t>600.000/</w:t>
            </w:r>
            <w:proofErr w:type="spellStart"/>
            <w:r w:rsidRPr="009819D0">
              <w:rPr>
                <w:sz w:val="22"/>
                <w:szCs w:val="22"/>
              </w:rPr>
              <w:t>lần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khám</w:t>
            </w:r>
            <w:proofErr w:type="spellEnd"/>
            <w:r w:rsidRPr="009819D0">
              <w:rPr>
                <w:sz w:val="22"/>
                <w:szCs w:val="22"/>
              </w:rPr>
              <w:br/>
            </w:r>
            <w:proofErr w:type="spellStart"/>
            <w:r w:rsidRPr="009819D0">
              <w:rPr>
                <w:sz w:val="22"/>
                <w:szCs w:val="22"/>
              </w:rPr>
              <w:t>Không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giới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hạn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số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lần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khám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9819D0" w:rsidRDefault="00E67408" w:rsidP="001F4810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9819D0">
              <w:rPr>
                <w:sz w:val="22"/>
                <w:szCs w:val="22"/>
              </w:rPr>
              <w:t>600.000/</w:t>
            </w:r>
            <w:proofErr w:type="spellStart"/>
            <w:r w:rsidRPr="009819D0">
              <w:rPr>
                <w:sz w:val="22"/>
                <w:szCs w:val="22"/>
              </w:rPr>
              <w:t>lần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khám</w:t>
            </w:r>
            <w:proofErr w:type="spellEnd"/>
            <w:r w:rsidRPr="009819D0">
              <w:rPr>
                <w:sz w:val="22"/>
                <w:szCs w:val="22"/>
              </w:rPr>
              <w:br/>
            </w:r>
            <w:proofErr w:type="spellStart"/>
            <w:r w:rsidRPr="009819D0">
              <w:rPr>
                <w:sz w:val="22"/>
                <w:szCs w:val="22"/>
              </w:rPr>
              <w:t>Không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giới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hạn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số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lần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khám</w:t>
            </w:r>
            <w:proofErr w:type="spellEnd"/>
          </w:p>
        </w:tc>
      </w:tr>
      <w:tr w:rsidR="00E67408" w:rsidRPr="009819D0" w:rsidTr="00B11BE6">
        <w:trPr>
          <w:trHeight w:val="5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754EAF">
            <w:pPr>
              <w:spacing w:line="276" w:lineRule="auto"/>
            </w:pPr>
            <w:proofErr w:type="spellStart"/>
            <w:r w:rsidRPr="009819D0">
              <w:rPr>
                <w:sz w:val="22"/>
                <w:szCs w:val="22"/>
              </w:rPr>
              <w:t>Điều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trị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bằng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các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phương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pháp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vật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lý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trị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liệu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trị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liệu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học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bức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xạ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nhiệt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liệu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pháp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ánh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sáng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và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các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phương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pháp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điều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trị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khác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tương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tự</w:t>
            </w:r>
            <w:proofErr w:type="spellEnd"/>
            <w:r w:rsidRPr="009819D0">
              <w:rPr>
                <w:sz w:val="22"/>
                <w:szCs w:val="22"/>
              </w:rPr>
              <w:t xml:space="preserve"> do </w:t>
            </w:r>
            <w:proofErr w:type="spellStart"/>
            <w:r w:rsidRPr="009819D0">
              <w:rPr>
                <w:sz w:val="22"/>
                <w:szCs w:val="22"/>
              </w:rPr>
              <w:t>bác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sỹ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chỉ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định</w:t>
            </w:r>
            <w:proofErr w:type="spellEnd"/>
            <w:r w:rsidRPr="009819D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</w:pPr>
            <w:r w:rsidRPr="009819D0">
              <w:rPr>
                <w:sz w:val="22"/>
                <w:szCs w:val="22"/>
              </w:rPr>
              <w:t>100.000/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tối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đa</w:t>
            </w:r>
            <w:proofErr w:type="spellEnd"/>
            <w:r w:rsidRPr="009819D0">
              <w:rPr>
                <w:sz w:val="22"/>
                <w:szCs w:val="22"/>
              </w:rPr>
              <w:t xml:space="preserve"> 60 </w:t>
            </w:r>
            <w:proofErr w:type="spellStart"/>
            <w:r w:rsidRPr="009819D0">
              <w:rPr>
                <w:sz w:val="22"/>
                <w:szCs w:val="22"/>
              </w:rPr>
              <w:t>ngày</w:t>
            </w:r>
            <w:proofErr w:type="spellEnd"/>
            <w:r w:rsidRPr="009819D0">
              <w:rPr>
                <w:sz w:val="22"/>
                <w:szCs w:val="22"/>
              </w:rPr>
              <w:t>/</w:t>
            </w:r>
            <w:proofErr w:type="spellStart"/>
            <w:r w:rsidRPr="009819D0">
              <w:rPr>
                <w:sz w:val="22"/>
                <w:szCs w:val="22"/>
              </w:rPr>
              <w:t>năm</w:t>
            </w:r>
            <w:proofErr w:type="spellEnd"/>
          </w:p>
        </w:tc>
      </w:tr>
      <w:tr w:rsidR="00E67408" w:rsidRPr="000F63E4" w:rsidTr="00FF176F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rPr>
                <w:b/>
                <w:bCs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754EAF">
            <w:pPr>
              <w:spacing w:line="276" w:lineRule="auto"/>
            </w:pPr>
            <w:proofErr w:type="spellStart"/>
            <w:r w:rsidRPr="009819D0">
              <w:rPr>
                <w:sz w:val="22"/>
                <w:szCs w:val="22"/>
              </w:rPr>
              <w:t>Điều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trị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răng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bao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gồm</w:t>
            </w:r>
            <w:proofErr w:type="spellEnd"/>
            <w:r w:rsidRPr="009819D0">
              <w:rPr>
                <w:sz w:val="22"/>
                <w:szCs w:val="22"/>
              </w:rPr>
              <w:t>:</w:t>
            </w:r>
            <w:r w:rsidRPr="009819D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9819D0">
              <w:rPr>
                <w:sz w:val="22"/>
                <w:szCs w:val="22"/>
              </w:rPr>
              <w:t>Khám</w:t>
            </w:r>
            <w:proofErr w:type="spellEnd"/>
            <w:r w:rsidRPr="009819D0">
              <w:rPr>
                <w:sz w:val="22"/>
                <w:szCs w:val="22"/>
              </w:rPr>
              <w:t xml:space="preserve">, </w:t>
            </w:r>
            <w:proofErr w:type="spellStart"/>
            <w:r w:rsidRPr="009819D0">
              <w:rPr>
                <w:sz w:val="22"/>
                <w:szCs w:val="22"/>
              </w:rPr>
              <w:t>chụp</w:t>
            </w:r>
            <w:proofErr w:type="spellEnd"/>
            <w:r w:rsidRPr="009819D0">
              <w:rPr>
                <w:sz w:val="22"/>
                <w:szCs w:val="22"/>
              </w:rPr>
              <w:t xml:space="preserve"> X.Q;</w:t>
            </w:r>
            <w:r w:rsidRPr="009819D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9819D0">
              <w:rPr>
                <w:sz w:val="22"/>
                <w:szCs w:val="22"/>
              </w:rPr>
              <w:t>Viêm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nướu</w:t>
            </w:r>
            <w:proofErr w:type="spellEnd"/>
            <w:r w:rsidRPr="009819D0">
              <w:rPr>
                <w:sz w:val="22"/>
                <w:szCs w:val="22"/>
              </w:rPr>
              <w:t xml:space="preserve"> (</w:t>
            </w:r>
            <w:proofErr w:type="spellStart"/>
            <w:r w:rsidRPr="009819D0">
              <w:rPr>
                <w:sz w:val="22"/>
                <w:szCs w:val="22"/>
              </w:rPr>
              <w:t>lợi</w:t>
            </w:r>
            <w:proofErr w:type="spellEnd"/>
            <w:r w:rsidRPr="009819D0">
              <w:rPr>
                <w:sz w:val="22"/>
                <w:szCs w:val="22"/>
              </w:rPr>
              <w:t xml:space="preserve">), </w:t>
            </w:r>
            <w:proofErr w:type="spellStart"/>
            <w:r w:rsidRPr="009819D0">
              <w:rPr>
                <w:sz w:val="22"/>
                <w:szCs w:val="22"/>
              </w:rPr>
              <w:t>nha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chu</w:t>
            </w:r>
            <w:proofErr w:type="spellEnd"/>
            <w:r w:rsidRPr="009819D0">
              <w:rPr>
                <w:sz w:val="22"/>
                <w:szCs w:val="22"/>
              </w:rPr>
              <w:t>;</w:t>
            </w:r>
            <w:r w:rsidRPr="009819D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9819D0">
              <w:rPr>
                <w:sz w:val="22"/>
                <w:szCs w:val="22"/>
              </w:rPr>
              <w:t>Trám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răng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bằng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chất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liệu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thông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thường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như</w:t>
            </w:r>
            <w:proofErr w:type="spellEnd"/>
            <w:r w:rsidRPr="009819D0">
              <w:rPr>
                <w:sz w:val="22"/>
                <w:szCs w:val="22"/>
              </w:rPr>
              <w:t xml:space="preserve"> amalgam, composite, </w:t>
            </w:r>
            <w:proofErr w:type="spellStart"/>
            <w:r w:rsidRPr="009819D0">
              <w:rPr>
                <w:sz w:val="22"/>
                <w:szCs w:val="22"/>
              </w:rPr>
              <w:t>fuji</w:t>
            </w:r>
            <w:proofErr w:type="spellEnd"/>
            <w:r w:rsidRPr="009819D0">
              <w:rPr>
                <w:sz w:val="22"/>
                <w:szCs w:val="22"/>
              </w:rPr>
              <w:t xml:space="preserve">...;  </w:t>
            </w:r>
            <w:r w:rsidRPr="009819D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9819D0">
              <w:rPr>
                <w:sz w:val="22"/>
                <w:szCs w:val="22"/>
              </w:rPr>
              <w:t>Điều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trị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tuỷ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răng</w:t>
            </w:r>
            <w:proofErr w:type="spellEnd"/>
            <w:r w:rsidRPr="009819D0">
              <w:rPr>
                <w:sz w:val="22"/>
                <w:szCs w:val="22"/>
              </w:rPr>
              <w:t xml:space="preserve">; </w:t>
            </w:r>
            <w:r w:rsidRPr="009819D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9819D0">
              <w:rPr>
                <w:sz w:val="22"/>
                <w:szCs w:val="22"/>
              </w:rPr>
              <w:t>Cạo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vôi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răng</w:t>
            </w:r>
            <w:proofErr w:type="spellEnd"/>
            <w:r w:rsidRPr="009819D0">
              <w:rPr>
                <w:sz w:val="22"/>
                <w:szCs w:val="22"/>
              </w:rPr>
              <w:t xml:space="preserve"> (</w:t>
            </w:r>
            <w:proofErr w:type="spellStart"/>
            <w:r w:rsidRPr="009819D0">
              <w:rPr>
                <w:sz w:val="22"/>
                <w:szCs w:val="22"/>
              </w:rPr>
              <w:t>lấy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cao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răng</w:t>
            </w:r>
            <w:proofErr w:type="spellEnd"/>
            <w:r w:rsidRPr="009819D0">
              <w:rPr>
                <w:sz w:val="22"/>
                <w:szCs w:val="22"/>
              </w:rPr>
              <w:t xml:space="preserve">); </w:t>
            </w:r>
            <w:proofErr w:type="spellStart"/>
            <w:r w:rsidRPr="009819D0">
              <w:rPr>
                <w:sz w:val="22"/>
                <w:szCs w:val="22"/>
              </w:rPr>
              <w:t>và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r w:rsidRPr="009819D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9819D0">
              <w:rPr>
                <w:sz w:val="22"/>
                <w:szCs w:val="22"/>
              </w:rPr>
              <w:t>Nhổ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răng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bệnh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lý</w:t>
            </w:r>
            <w:proofErr w:type="spellEnd"/>
            <w:r w:rsidRPr="009819D0">
              <w:rPr>
                <w:sz w:val="22"/>
                <w:szCs w:val="22"/>
              </w:rPr>
              <w:t xml:space="preserve"> (</w:t>
            </w:r>
            <w:proofErr w:type="spellStart"/>
            <w:r w:rsidRPr="009819D0">
              <w:rPr>
                <w:sz w:val="22"/>
                <w:szCs w:val="22"/>
              </w:rPr>
              <w:t>không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bao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gồm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tiểu</w:t>
            </w:r>
            <w:proofErr w:type="spellEnd"/>
            <w:r w:rsidRPr="009819D0">
              <w:rPr>
                <w:sz w:val="22"/>
                <w:szCs w:val="22"/>
              </w:rPr>
              <w:t xml:space="preserve"> </w:t>
            </w:r>
            <w:proofErr w:type="spellStart"/>
            <w:r w:rsidRPr="009819D0">
              <w:rPr>
                <w:sz w:val="22"/>
                <w:szCs w:val="22"/>
              </w:rPr>
              <w:t>phẫu</w:t>
            </w:r>
            <w:proofErr w:type="spellEnd"/>
            <w:r w:rsidRPr="009819D0">
              <w:rPr>
                <w:sz w:val="22"/>
                <w:szCs w:val="22"/>
              </w:rPr>
              <w:t>)</w:t>
            </w:r>
          </w:p>
          <w:p w:rsidR="00E67408" w:rsidRPr="009819D0" w:rsidRDefault="00E67408" w:rsidP="00754EAF">
            <w:pPr>
              <w:spacing w:line="276" w:lineRule="auto"/>
              <w:rPr>
                <w:u w:val="single"/>
                <w:lang w:val="pt-BR"/>
              </w:rPr>
            </w:pPr>
            <w:r w:rsidRPr="009819D0">
              <w:rPr>
                <w:sz w:val="22"/>
                <w:szCs w:val="22"/>
                <w:u w:val="single"/>
                <w:lang w:val="pt-BR"/>
              </w:rPr>
              <w:t>Áp dụng đối với điều trị răng thuộc Quyền lợi điều trị Ngoại trú: Quyền lợi này chỉ được chi trả khi</w:t>
            </w:r>
          </w:p>
          <w:p w:rsidR="00E67408" w:rsidRPr="009819D0" w:rsidRDefault="00E67408" w:rsidP="00754EAF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612" w:hanging="450"/>
              <w:rPr>
                <w:lang w:val="pt-BR"/>
              </w:rPr>
            </w:pPr>
            <w:r w:rsidRPr="009819D0">
              <w:rPr>
                <w:sz w:val="22"/>
                <w:szCs w:val="22"/>
                <w:lang w:val="pt-BR"/>
              </w:rPr>
              <w:t xml:space="preserve">Khám và điều trị tại </w:t>
            </w:r>
            <w:r w:rsidRPr="009819D0">
              <w:rPr>
                <w:sz w:val="22"/>
                <w:szCs w:val="22"/>
                <w:u w:val="single"/>
                <w:lang w:val="pt-BR"/>
              </w:rPr>
              <w:t>Hà Nội và TP. Hồ Chí Minh</w:t>
            </w:r>
            <w:r w:rsidRPr="009819D0">
              <w:rPr>
                <w:sz w:val="22"/>
                <w:szCs w:val="22"/>
                <w:lang w:val="pt-BR"/>
              </w:rPr>
              <w:t>: chỉ chấp nhận thanh toán chi phí phát sinh tại các Bệnh viện hoặc các Phòng khám có thỏa thuận Bảo lãnh với Bảo Việt.</w:t>
            </w:r>
          </w:p>
          <w:p w:rsidR="00E67408" w:rsidRPr="009819D0" w:rsidRDefault="00E67408" w:rsidP="00754EAF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612" w:hanging="450"/>
              <w:rPr>
                <w:lang w:val="pt-BR"/>
              </w:rPr>
            </w:pPr>
            <w:r w:rsidRPr="009819D0">
              <w:rPr>
                <w:sz w:val="22"/>
                <w:szCs w:val="22"/>
                <w:lang w:val="pt-BR"/>
              </w:rPr>
              <w:t>Khám và điều trị tại các khu vực k</w:t>
            </w:r>
            <w:bookmarkStart w:id="0" w:name="_GoBack"/>
            <w:bookmarkEnd w:id="0"/>
            <w:r w:rsidRPr="009819D0">
              <w:rPr>
                <w:sz w:val="22"/>
                <w:szCs w:val="22"/>
                <w:lang w:val="pt-BR"/>
              </w:rPr>
              <w:t>hác: mở rộng thanh toán chi phí khám và điều trị răng tại các Phòng khám có đăng ký kinh doanh và Giấy phép hành nghề hợp pháp.</w:t>
            </w:r>
          </w:p>
          <w:p w:rsidR="00E67408" w:rsidRPr="009819D0" w:rsidRDefault="00E67408" w:rsidP="00754EAF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612" w:hanging="450"/>
              <w:rPr>
                <w:lang w:val="pt-BR"/>
              </w:rPr>
            </w:pPr>
            <w:r w:rsidRPr="009819D0">
              <w:rPr>
                <w:sz w:val="22"/>
                <w:szCs w:val="22"/>
                <w:lang w:val="pt-BR"/>
              </w:rPr>
              <w:t>Từ chối bồi thường nếu khám và điều trị tại Nha khoa Happy – 26 Hàm Nghi, Tp. Đà Nẵng. Nha khoa Đại Nam-328 Ông Ích Khiêm, Đà Nẵng</w:t>
            </w:r>
          </w:p>
          <w:p w:rsidR="00E67408" w:rsidRPr="009819D0" w:rsidRDefault="00E67408" w:rsidP="00754EAF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612" w:hanging="450"/>
              <w:rPr>
                <w:lang w:val="pt-BR"/>
              </w:rPr>
            </w:pPr>
            <w:r w:rsidRPr="009819D0">
              <w:rPr>
                <w:sz w:val="22"/>
                <w:szCs w:val="22"/>
                <w:lang w:val="pt-BR"/>
              </w:rPr>
              <w:t>Từ chối bồi thường nếu khám và điều trị tại N</w:t>
            </w:r>
            <w:r w:rsidRPr="009819D0">
              <w:rPr>
                <w:bCs/>
                <w:sz w:val="22"/>
                <w:szCs w:val="22"/>
                <w:lang w:val="pt-BR"/>
              </w:rPr>
              <w:t>ha khoa Việt Pháp, số 24 Trần Duy Hưng, Hà Nội</w:t>
            </w:r>
          </w:p>
          <w:p w:rsidR="00E67408" w:rsidRPr="009819D0" w:rsidRDefault="00E67408" w:rsidP="00754EAF">
            <w:pPr>
              <w:spacing w:line="276" w:lineRule="auto"/>
              <w:rPr>
                <w:lang w:val="pt-B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08" w:rsidRPr="009819D0" w:rsidRDefault="00E67408" w:rsidP="001F4810">
            <w:pPr>
              <w:jc w:val="center"/>
              <w:rPr>
                <w:lang w:val="pt-BR"/>
              </w:rPr>
            </w:pPr>
            <w:r w:rsidRPr="009819D0">
              <w:rPr>
                <w:sz w:val="22"/>
                <w:szCs w:val="22"/>
                <w:lang w:val="pt-BR"/>
              </w:rPr>
              <w:t>600.000/năm</w:t>
            </w:r>
            <w:r w:rsidRPr="009819D0">
              <w:rPr>
                <w:sz w:val="22"/>
                <w:szCs w:val="22"/>
                <w:lang w:val="pt-BR"/>
              </w:rPr>
              <w:br/>
              <w:t>(trong đó cạo vôi răng tối đa 400.000/năm)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08" w:rsidRPr="00E67408" w:rsidRDefault="00E67408" w:rsidP="001F4810">
            <w:pPr>
              <w:jc w:val="center"/>
              <w:rPr>
                <w:lang w:val="pt-BR"/>
              </w:rPr>
            </w:pPr>
            <w:r w:rsidRPr="00E67408">
              <w:rPr>
                <w:sz w:val="22"/>
                <w:szCs w:val="22"/>
                <w:lang w:val="pt-BR"/>
              </w:rPr>
              <w:t>1.600.000/năm</w:t>
            </w:r>
            <w:r w:rsidRPr="00E67408">
              <w:rPr>
                <w:sz w:val="22"/>
                <w:szCs w:val="22"/>
                <w:lang w:val="pt-BR"/>
              </w:rPr>
              <w:br/>
              <w:t>(trong đó cạo vôi răng tối đa 400.000/năm)</w:t>
            </w:r>
          </w:p>
        </w:tc>
      </w:tr>
    </w:tbl>
    <w:p w:rsidR="00754EAF" w:rsidRDefault="00754EAF" w:rsidP="00BB2548">
      <w:pPr>
        <w:ind w:right="-255"/>
        <w:jc w:val="both"/>
        <w:rPr>
          <w:i/>
          <w:iCs/>
          <w:sz w:val="22"/>
          <w:szCs w:val="22"/>
          <w:lang w:val="fr-FR"/>
        </w:rPr>
      </w:pPr>
    </w:p>
    <w:p w:rsidR="00BB2548" w:rsidRPr="009819D0" w:rsidRDefault="00BB2548" w:rsidP="00BB2548">
      <w:pPr>
        <w:ind w:right="-255"/>
        <w:jc w:val="both"/>
        <w:rPr>
          <w:i/>
          <w:iCs/>
          <w:sz w:val="22"/>
          <w:szCs w:val="22"/>
          <w:lang w:val="fr-FR"/>
        </w:rPr>
      </w:pPr>
      <w:r w:rsidRPr="009819D0">
        <w:rPr>
          <w:i/>
          <w:iCs/>
          <w:sz w:val="22"/>
          <w:szCs w:val="22"/>
          <w:lang w:val="fr-FR"/>
        </w:rPr>
        <w:t xml:space="preserve">(*) </w:t>
      </w:r>
      <w:proofErr w:type="spellStart"/>
      <w:r w:rsidRPr="009819D0">
        <w:rPr>
          <w:i/>
          <w:iCs/>
          <w:sz w:val="22"/>
          <w:szCs w:val="22"/>
          <w:lang w:val="fr-FR"/>
        </w:rPr>
        <w:t>Số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tiền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bồi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thường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cho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người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được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bảo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hiểm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một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năm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không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vượt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quá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giới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hạn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tối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đa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trong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Bảng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tóm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tắt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hợp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đồng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bảo</w:t>
      </w:r>
      <w:proofErr w:type="spellEnd"/>
      <w:r w:rsidRPr="009819D0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9819D0">
        <w:rPr>
          <w:i/>
          <w:iCs/>
          <w:sz w:val="22"/>
          <w:szCs w:val="22"/>
          <w:lang w:val="fr-FR"/>
        </w:rPr>
        <w:t>hiểm</w:t>
      </w:r>
      <w:proofErr w:type="spellEnd"/>
      <w:r w:rsidRPr="009819D0">
        <w:rPr>
          <w:i/>
          <w:iCs/>
          <w:sz w:val="22"/>
          <w:szCs w:val="22"/>
          <w:lang w:val="fr-FR"/>
        </w:rPr>
        <w:t>.</w:t>
      </w:r>
    </w:p>
    <w:p w:rsidR="00754EAF" w:rsidRDefault="00754EAF" w:rsidP="00BB2548">
      <w:pPr>
        <w:ind w:left="2880" w:hanging="2880"/>
        <w:jc w:val="center"/>
        <w:rPr>
          <w:b/>
          <w:sz w:val="22"/>
          <w:szCs w:val="22"/>
          <w:lang w:val="pt-BR"/>
        </w:rPr>
      </w:pPr>
    </w:p>
    <w:p w:rsidR="00754EAF" w:rsidRDefault="00754EAF" w:rsidP="00BB2548">
      <w:pPr>
        <w:ind w:left="2880" w:hanging="2880"/>
        <w:jc w:val="center"/>
        <w:rPr>
          <w:b/>
          <w:sz w:val="22"/>
          <w:szCs w:val="22"/>
          <w:lang w:val="pt-BR"/>
        </w:rPr>
      </w:pPr>
    </w:p>
    <w:p w:rsidR="00754EAF" w:rsidRDefault="00754EAF" w:rsidP="00BB2548">
      <w:pPr>
        <w:ind w:left="2880" w:hanging="2880"/>
        <w:jc w:val="center"/>
        <w:rPr>
          <w:b/>
          <w:sz w:val="22"/>
          <w:szCs w:val="22"/>
          <w:lang w:val="pt-BR"/>
        </w:rPr>
      </w:pPr>
    </w:p>
    <w:p w:rsidR="00754EAF" w:rsidRDefault="00754EAF" w:rsidP="00BB2548">
      <w:pPr>
        <w:ind w:left="2880" w:hanging="2880"/>
        <w:jc w:val="center"/>
        <w:rPr>
          <w:b/>
          <w:sz w:val="22"/>
          <w:szCs w:val="22"/>
          <w:lang w:val="pt-BR"/>
        </w:rPr>
      </w:pPr>
    </w:p>
    <w:p w:rsidR="00754EAF" w:rsidRDefault="00754EAF" w:rsidP="00BB2548">
      <w:pPr>
        <w:ind w:left="2880" w:hanging="2880"/>
        <w:jc w:val="center"/>
        <w:rPr>
          <w:b/>
          <w:sz w:val="22"/>
          <w:szCs w:val="22"/>
          <w:lang w:val="pt-BR"/>
        </w:rPr>
      </w:pPr>
    </w:p>
    <w:p w:rsidR="00754EAF" w:rsidRDefault="00754EAF" w:rsidP="00BB2548">
      <w:pPr>
        <w:ind w:left="2880" w:hanging="2880"/>
        <w:jc w:val="center"/>
        <w:rPr>
          <w:b/>
          <w:sz w:val="22"/>
          <w:szCs w:val="22"/>
          <w:lang w:val="pt-BR"/>
        </w:rPr>
      </w:pPr>
    </w:p>
    <w:p w:rsidR="00754EAF" w:rsidRDefault="00754EAF" w:rsidP="00BB2548">
      <w:pPr>
        <w:ind w:left="2880" w:hanging="2880"/>
        <w:jc w:val="center"/>
        <w:rPr>
          <w:b/>
          <w:sz w:val="22"/>
          <w:szCs w:val="22"/>
          <w:lang w:val="pt-BR"/>
        </w:rPr>
      </w:pPr>
    </w:p>
    <w:p w:rsidR="00754EAF" w:rsidRDefault="00754EAF" w:rsidP="00BB2548">
      <w:pPr>
        <w:ind w:left="2880" w:hanging="2880"/>
        <w:jc w:val="center"/>
        <w:rPr>
          <w:b/>
          <w:sz w:val="22"/>
          <w:szCs w:val="22"/>
          <w:lang w:val="pt-BR"/>
        </w:rPr>
      </w:pPr>
    </w:p>
    <w:sectPr w:rsidR="00754EAF" w:rsidSect="0074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294"/>
    <w:multiLevelType w:val="hybridMultilevel"/>
    <w:tmpl w:val="49DE470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5C17E6"/>
    <w:multiLevelType w:val="hybridMultilevel"/>
    <w:tmpl w:val="1AC8B7CE"/>
    <w:lvl w:ilvl="0" w:tplc="E03ABD80">
      <w:start w:val="30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A4D783A"/>
    <w:multiLevelType w:val="hybridMultilevel"/>
    <w:tmpl w:val="C3AC53A6"/>
    <w:lvl w:ilvl="0" w:tplc="16BC68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76143F4E">
      <w:start w:val="1"/>
      <w:numFmt w:val="lowerLetter"/>
      <w:lvlText w:val="%2."/>
      <w:lvlJc w:val="left"/>
      <w:pPr>
        <w:ind w:left="3905" w:hanging="360"/>
      </w:pPr>
      <w:rPr>
        <w:color w:val="auto"/>
      </w:rPr>
    </w:lvl>
    <w:lvl w:ilvl="2" w:tplc="34E817EC">
      <w:start w:val="1"/>
      <w:numFmt w:val="bullet"/>
      <w:lvlText w:val=""/>
      <w:lvlJc w:val="left"/>
      <w:pPr>
        <w:ind w:left="486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AD55BF6"/>
    <w:multiLevelType w:val="singleLevel"/>
    <w:tmpl w:val="B952ED0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color w:val="auto"/>
      </w:rPr>
    </w:lvl>
  </w:abstractNum>
  <w:abstractNum w:abstractNumId="4">
    <w:nsid w:val="30741674"/>
    <w:multiLevelType w:val="hybridMultilevel"/>
    <w:tmpl w:val="900A6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07767"/>
    <w:multiLevelType w:val="hybridMultilevel"/>
    <w:tmpl w:val="D0665E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DD54FFE"/>
    <w:multiLevelType w:val="hybridMultilevel"/>
    <w:tmpl w:val="044EA00E"/>
    <w:lvl w:ilvl="0" w:tplc="B952ED06">
      <w:numFmt w:val="bullet"/>
      <w:lvlText w:val="-"/>
      <w:lvlJc w:val="left"/>
      <w:pPr>
        <w:ind w:left="3960" w:hanging="360"/>
      </w:pPr>
      <w:rPr>
        <w:rFonts w:ascii="Times New Roman" w:hAnsi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7B6F1E70"/>
    <w:multiLevelType w:val="hybridMultilevel"/>
    <w:tmpl w:val="A6D4B42A"/>
    <w:lvl w:ilvl="0" w:tplc="597C66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90260B0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2" w:tplc="648E0D8A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.VnTimeH" w:eastAsia=".VnTimeH" w:hAnsi=".VnTimeH" w:cs=".VnTimeH" w:hint="default"/>
      </w:rPr>
    </w:lvl>
    <w:lvl w:ilvl="3" w:tplc="6048291A">
      <w:start w:val="2"/>
      <w:numFmt w:val="upperRoman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6"/>
        <w:szCs w:val="2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308B"/>
    <w:rsid w:val="00023F94"/>
    <w:rsid w:val="0006308B"/>
    <w:rsid w:val="000F63E4"/>
    <w:rsid w:val="003D00FB"/>
    <w:rsid w:val="00443137"/>
    <w:rsid w:val="004A41D0"/>
    <w:rsid w:val="006C7BC1"/>
    <w:rsid w:val="00743875"/>
    <w:rsid w:val="00754EAF"/>
    <w:rsid w:val="009255FF"/>
    <w:rsid w:val="009819D0"/>
    <w:rsid w:val="00A83A63"/>
    <w:rsid w:val="00AE789A"/>
    <w:rsid w:val="00B1161E"/>
    <w:rsid w:val="00B11BE6"/>
    <w:rsid w:val="00BB2548"/>
    <w:rsid w:val="00C37DA5"/>
    <w:rsid w:val="00C40283"/>
    <w:rsid w:val="00DC4D10"/>
    <w:rsid w:val="00E03002"/>
    <w:rsid w:val="00E25A7C"/>
    <w:rsid w:val="00E67408"/>
    <w:rsid w:val="00F21568"/>
    <w:rsid w:val="00F42AD3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630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6308B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06308B"/>
    <w:rPr>
      <w:rFonts w:ascii=".VnTime" w:hAnsi=".VnTime"/>
      <w:sz w:val="25"/>
      <w:szCs w:val="20"/>
    </w:rPr>
  </w:style>
  <w:style w:type="character" w:customStyle="1" w:styleId="BodyTextChar">
    <w:name w:val="Body Text Char"/>
    <w:basedOn w:val="DefaultParagraphFont"/>
    <w:link w:val="BodyText"/>
    <w:rsid w:val="0006308B"/>
    <w:rPr>
      <w:rFonts w:ascii=".VnTime" w:eastAsia="Times New Roman" w:hAnsi=".VnTime" w:cs="Times New Roman"/>
      <w:sz w:val="25"/>
      <w:szCs w:val="20"/>
    </w:rPr>
  </w:style>
  <w:style w:type="paragraph" w:styleId="BodyTextIndent3">
    <w:name w:val="Body Text Indent 3"/>
    <w:basedOn w:val="Normal"/>
    <w:link w:val="BodyTextIndent3Char"/>
    <w:rsid w:val="0006308B"/>
    <w:pPr>
      <w:ind w:left="1440" w:hanging="720"/>
    </w:pPr>
    <w:rPr>
      <w:rFonts w:ascii=".VnTime" w:hAnsi=".VnTime"/>
      <w:bCs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308B"/>
    <w:rPr>
      <w:rFonts w:ascii=".VnTime" w:eastAsia="Times New Roman" w:hAnsi=".VnTime" w:cs="Times New Roman"/>
      <w:bCs/>
      <w:sz w:val="26"/>
      <w:szCs w:val="20"/>
    </w:rPr>
  </w:style>
  <w:style w:type="paragraph" w:styleId="ListParagraph">
    <w:name w:val="List Paragraph"/>
    <w:basedOn w:val="Normal"/>
    <w:uiPriority w:val="34"/>
    <w:qFormat/>
    <w:rsid w:val="0006308B"/>
    <w:pPr>
      <w:autoSpaceDE w:val="0"/>
      <w:autoSpaceDN w:val="0"/>
      <w:ind w:left="720"/>
      <w:contextualSpacing/>
    </w:pPr>
    <w:rPr>
      <w:sz w:val="28"/>
      <w:szCs w:val="28"/>
      <w:lang w:val="fr-FR"/>
    </w:rPr>
  </w:style>
  <w:style w:type="paragraph" w:customStyle="1" w:styleId="p23">
    <w:name w:val="p23"/>
    <w:basedOn w:val="Normal"/>
    <w:rsid w:val="0006308B"/>
    <w:pPr>
      <w:widowControl w:val="0"/>
      <w:tabs>
        <w:tab w:val="left" w:pos="720"/>
      </w:tabs>
      <w:snapToGrid w:val="0"/>
      <w:spacing w:line="240" w:lineRule="atLeast"/>
      <w:jc w:val="both"/>
    </w:pPr>
    <w:rPr>
      <w:szCs w:val="20"/>
    </w:rPr>
  </w:style>
  <w:style w:type="paragraph" w:customStyle="1" w:styleId="p0">
    <w:name w:val="p0"/>
    <w:basedOn w:val="Normal"/>
    <w:rsid w:val="0006308B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630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6308B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06308B"/>
    <w:rPr>
      <w:rFonts w:ascii=".VnTime" w:hAnsi=".VnTime"/>
      <w:sz w:val="25"/>
      <w:szCs w:val="20"/>
    </w:rPr>
  </w:style>
  <w:style w:type="character" w:customStyle="1" w:styleId="BodyTextChar">
    <w:name w:val="Body Text Char"/>
    <w:basedOn w:val="DefaultParagraphFont"/>
    <w:link w:val="BodyText"/>
    <w:rsid w:val="0006308B"/>
    <w:rPr>
      <w:rFonts w:ascii=".VnTime" w:eastAsia="Times New Roman" w:hAnsi=".VnTime" w:cs="Times New Roman"/>
      <w:sz w:val="25"/>
      <w:szCs w:val="20"/>
    </w:rPr>
  </w:style>
  <w:style w:type="paragraph" w:styleId="BodyTextIndent3">
    <w:name w:val="Body Text Indent 3"/>
    <w:basedOn w:val="Normal"/>
    <w:link w:val="BodyTextIndent3Char"/>
    <w:rsid w:val="0006308B"/>
    <w:pPr>
      <w:ind w:left="1440" w:hanging="720"/>
    </w:pPr>
    <w:rPr>
      <w:rFonts w:ascii=".VnTime" w:hAnsi=".VnTime"/>
      <w:bCs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308B"/>
    <w:rPr>
      <w:rFonts w:ascii=".VnTime" w:eastAsia="Times New Roman" w:hAnsi=".VnTime" w:cs="Times New Roman"/>
      <w:bCs/>
      <w:sz w:val="26"/>
      <w:szCs w:val="20"/>
    </w:rPr>
  </w:style>
  <w:style w:type="paragraph" w:styleId="ListParagraph">
    <w:name w:val="List Paragraph"/>
    <w:basedOn w:val="Normal"/>
    <w:uiPriority w:val="34"/>
    <w:qFormat/>
    <w:rsid w:val="0006308B"/>
    <w:pPr>
      <w:autoSpaceDE w:val="0"/>
      <w:autoSpaceDN w:val="0"/>
      <w:ind w:left="720"/>
      <w:contextualSpacing/>
    </w:pPr>
    <w:rPr>
      <w:sz w:val="28"/>
      <w:szCs w:val="28"/>
      <w:lang w:val="fr-FR"/>
    </w:rPr>
  </w:style>
  <w:style w:type="paragraph" w:customStyle="1" w:styleId="p23">
    <w:name w:val="p23"/>
    <w:basedOn w:val="Normal"/>
    <w:rsid w:val="0006308B"/>
    <w:pPr>
      <w:widowControl w:val="0"/>
      <w:tabs>
        <w:tab w:val="left" w:pos="720"/>
      </w:tabs>
      <w:snapToGrid w:val="0"/>
      <w:spacing w:line="240" w:lineRule="atLeast"/>
      <w:jc w:val="both"/>
    </w:pPr>
    <w:rPr>
      <w:szCs w:val="20"/>
    </w:rPr>
  </w:style>
  <w:style w:type="paragraph" w:customStyle="1" w:styleId="p0">
    <w:name w:val="p0"/>
    <w:basedOn w:val="Normal"/>
    <w:rsid w:val="0006308B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CNTT-DHKT</cp:lastModifiedBy>
  <cp:revision>14</cp:revision>
  <dcterms:created xsi:type="dcterms:W3CDTF">2017-01-23T01:47:00Z</dcterms:created>
  <dcterms:modified xsi:type="dcterms:W3CDTF">2017-01-23T03:52:00Z</dcterms:modified>
</cp:coreProperties>
</file>